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02A35">
      <w:pPr>
        <w:spacing w:after="0" w:line="360" w:lineRule="auto"/>
        <w:jc w:val="both"/>
        <w:rPr>
          <w:rFonts w:ascii="Palatino Linotype" w:eastAsia="Calibri" w:hAnsi="Palatino Linotype" w:cs="Arial"/>
          <w:b/>
          <w:bCs/>
          <w:sz w:val="24"/>
          <w:szCs w:val="24"/>
          <w:lang w:eastAsia="es-MX"/>
        </w:rPr>
      </w:pPr>
      <w:bookmarkStart w:id="0" w:name="_GoBack"/>
      <w:bookmarkEnd w:id="0"/>
      <w:r w:rsidRPr="00427B79">
        <w:rPr>
          <w:rFonts w:ascii="Palatino Linotype" w:eastAsia="Calibri" w:hAnsi="Palatino Linotype" w:cs="Arial"/>
          <w:b/>
          <w:sz w:val="24"/>
          <w:szCs w:val="24"/>
        </w:rPr>
        <w:t xml:space="preserve">VOTO PARTICULAR DEL COMISIONADO JOSÉ GUADALUPE LUNA HERNÁNDEZ EN EL RECURSO DE REVISIÓN </w:t>
      </w:r>
      <w:r w:rsidR="00A82E8C">
        <w:rPr>
          <w:rFonts w:ascii="Palatino Linotype" w:hAnsi="Palatino Linotype"/>
          <w:b/>
        </w:rPr>
        <w:t>0</w:t>
      </w:r>
      <w:r w:rsidR="009658BA">
        <w:rPr>
          <w:rFonts w:ascii="Palatino Linotype" w:hAnsi="Palatino Linotype"/>
          <w:b/>
        </w:rPr>
        <w:t>0632</w:t>
      </w:r>
      <w:r w:rsidR="009658BA">
        <w:rPr>
          <w:rFonts w:ascii="Palatino Linotype" w:hAnsi="Palatino Linotype" w:cs="Arial"/>
          <w:b/>
          <w:bCs/>
        </w:rPr>
        <w:t>/INFOEM/IP/RR/2019</w:t>
      </w:r>
      <w:r w:rsidR="00DB39B5" w:rsidRPr="00922197">
        <w:rPr>
          <w:rFonts w:ascii="Palatino Linotype" w:hAnsi="Palatino Linotype"/>
        </w:rPr>
        <w:t>.</w:t>
      </w:r>
    </w:p>
    <w:p w:rsidR="00E6179D" w:rsidRPr="00427B79" w:rsidRDefault="00E6179D" w:rsidP="00E02A35">
      <w:pPr>
        <w:spacing w:after="0" w:line="360" w:lineRule="auto"/>
        <w:jc w:val="both"/>
        <w:rPr>
          <w:rFonts w:ascii="Palatino Linotype" w:eastAsia="Calibri" w:hAnsi="Palatino Linotype" w:cs="Arial"/>
          <w:sz w:val="24"/>
          <w:szCs w:val="24"/>
        </w:rPr>
      </w:pPr>
    </w:p>
    <w:p w:rsidR="00560CB9" w:rsidRPr="00341896" w:rsidRDefault="00E6179D" w:rsidP="00E02A35">
      <w:pPr>
        <w:spacing w:after="0" w:line="360" w:lineRule="auto"/>
        <w:jc w:val="both"/>
        <w:rPr>
          <w:rFonts w:ascii="Palatino Linotype" w:eastAsia="Calibri" w:hAnsi="Palatino Linotype" w:cs="Arial"/>
          <w:sz w:val="23"/>
          <w:szCs w:val="23"/>
        </w:rPr>
      </w:pPr>
      <w:r w:rsidRPr="00341896">
        <w:rPr>
          <w:rFonts w:ascii="Palatino Linotype" w:eastAsia="Calibri" w:hAnsi="Palatino Linotype" w:cs="Arial"/>
          <w:b/>
          <w:sz w:val="24"/>
          <w:szCs w:val="24"/>
        </w:rPr>
        <w:t>Resumen del voto:</w:t>
      </w:r>
      <w:r w:rsidRPr="00341896">
        <w:rPr>
          <w:rFonts w:ascii="Palatino Linotype" w:eastAsia="Calibri" w:hAnsi="Palatino Linotype" w:cs="Arial"/>
          <w:sz w:val="23"/>
          <w:szCs w:val="23"/>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560CB9" w:rsidRPr="00341896" w:rsidRDefault="00560CB9" w:rsidP="00E02A35">
      <w:pPr>
        <w:spacing w:line="360" w:lineRule="auto"/>
        <w:jc w:val="both"/>
        <w:rPr>
          <w:rFonts w:ascii="Palatino Linotype" w:hAnsi="Palatino Linotype" w:cs="Arial"/>
          <w:sz w:val="23"/>
          <w:szCs w:val="23"/>
        </w:rPr>
      </w:pPr>
      <w:r w:rsidRPr="00341896">
        <w:rPr>
          <w:rFonts w:ascii="Palatino Linotype" w:hAnsi="Palatino Linotype" w:cs="Arial"/>
          <w:sz w:val="23"/>
          <w:szCs w:val="23"/>
        </w:rPr>
        <w:t xml:space="preserve">Para que el Sujeto Obligado determine clasificar la información como reservada,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p>
    <w:p w:rsidR="00560CB9" w:rsidRPr="00341896" w:rsidRDefault="00560CB9" w:rsidP="00E02A35">
      <w:pPr>
        <w:spacing w:line="360" w:lineRule="auto"/>
        <w:jc w:val="both"/>
        <w:rPr>
          <w:rFonts w:ascii="Palatino Linotype" w:hAnsi="Palatino Linotype" w:cs="Arial"/>
          <w:sz w:val="23"/>
          <w:szCs w:val="23"/>
        </w:rPr>
      </w:pPr>
      <w:r w:rsidRPr="00341896">
        <w:rPr>
          <w:rFonts w:ascii="Palatino Linotype" w:hAnsi="Palatino Linotype" w:cs="Arial"/>
          <w:sz w:val="23"/>
          <w:szCs w:val="23"/>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p>
    <w:p w:rsidR="00341896" w:rsidRDefault="00560CB9" w:rsidP="00E02A35">
      <w:pPr>
        <w:spacing w:line="360" w:lineRule="auto"/>
        <w:jc w:val="both"/>
        <w:rPr>
          <w:rFonts w:ascii="Palatino Linotype" w:hAnsi="Palatino Linotype" w:cs="Arial"/>
          <w:sz w:val="23"/>
          <w:szCs w:val="23"/>
        </w:rPr>
      </w:pPr>
      <w:r w:rsidRPr="00341896">
        <w:rPr>
          <w:rFonts w:ascii="Palatino Linotype" w:hAnsi="Palatino Linotype" w:cs="Arial"/>
          <w:sz w:val="23"/>
          <w:szCs w:val="23"/>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E6179D" w:rsidRPr="002E50A9" w:rsidRDefault="00E6179D" w:rsidP="00E02A35">
      <w:pPr>
        <w:pStyle w:val="TtulodeTDC"/>
        <w:spacing w:line="360" w:lineRule="auto"/>
        <w:rPr>
          <w:rFonts w:cs="Arial"/>
          <w:b w:val="0"/>
          <w:color w:val="auto"/>
          <w:szCs w:val="24"/>
        </w:rPr>
      </w:pPr>
      <w:r w:rsidRPr="002E50A9">
        <w:rPr>
          <w:rFonts w:cs="Arial"/>
          <w:color w:val="auto"/>
          <w:szCs w:val="24"/>
        </w:rPr>
        <w:lastRenderedPageBreak/>
        <w:t>Índice</w:t>
      </w:r>
      <w:r w:rsidR="00B73B30" w:rsidRPr="002E50A9">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FB5F09" w:rsidRPr="00FB5F09" w:rsidRDefault="00E6179D" w:rsidP="00E02A35">
          <w:pPr>
            <w:pStyle w:val="TDC1"/>
            <w:spacing w:line="360" w:lineRule="auto"/>
            <w:ind w:hanging="284"/>
            <w:rPr>
              <w:rFonts w:eastAsiaTheme="minorEastAsia"/>
              <w:b w:val="0"/>
              <w:sz w:val="24"/>
              <w:szCs w:val="24"/>
              <w:lang w:eastAsia="es-MX"/>
            </w:rPr>
          </w:pPr>
          <w:r w:rsidRPr="00483F14">
            <w:rPr>
              <w:b w:val="0"/>
              <w:sz w:val="24"/>
              <w:szCs w:val="24"/>
            </w:rPr>
            <w:fldChar w:fldCharType="begin"/>
          </w:r>
          <w:r w:rsidRPr="00483F14">
            <w:rPr>
              <w:sz w:val="24"/>
              <w:szCs w:val="24"/>
            </w:rPr>
            <w:instrText xml:space="preserve"> TOC \o "1-3" \h \z \u </w:instrText>
          </w:r>
          <w:r w:rsidRPr="00483F14">
            <w:rPr>
              <w:b w:val="0"/>
              <w:sz w:val="24"/>
              <w:szCs w:val="24"/>
            </w:rPr>
            <w:fldChar w:fldCharType="separate"/>
          </w:r>
          <w:hyperlink w:anchor="_Toc8236626" w:history="1">
            <w:r w:rsidR="00FB5F09" w:rsidRPr="00FB5F09">
              <w:rPr>
                <w:rStyle w:val="Hipervnculo"/>
                <w:rFonts w:eastAsia="Times New Roman"/>
                <w:sz w:val="24"/>
                <w:szCs w:val="24"/>
              </w:rPr>
              <w:t>I.</w:t>
            </w:r>
            <w:r w:rsidR="00FB5F09" w:rsidRPr="00FB5F09">
              <w:rPr>
                <w:rFonts w:eastAsiaTheme="minorEastAsia"/>
                <w:b w:val="0"/>
                <w:sz w:val="24"/>
                <w:szCs w:val="24"/>
                <w:lang w:eastAsia="es-MX"/>
              </w:rPr>
              <w:tab/>
            </w:r>
            <w:r w:rsidR="00FB5F09" w:rsidRPr="00FB5F09">
              <w:rPr>
                <w:rStyle w:val="Hipervnculo"/>
                <w:rFonts w:eastAsia="Times New Roman"/>
                <w:sz w:val="24"/>
                <w:szCs w:val="24"/>
              </w:rPr>
              <w:t>Consideraciones Generales</w:t>
            </w:r>
            <w:r w:rsidR="00FB5F09" w:rsidRPr="00FB5F09">
              <w:rPr>
                <w:webHidden/>
                <w:sz w:val="24"/>
                <w:szCs w:val="24"/>
              </w:rPr>
              <w:tab/>
            </w:r>
            <w:r w:rsidR="00FB5F09" w:rsidRPr="00FB5F09">
              <w:rPr>
                <w:webHidden/>
                <w:sz w:val="24"/>
                <w:szCs w:val="24"/>
              </w:rPr>
              <w:fldChar w:fldCharType="begin"/>
            </w:r>
            <w:r w:rsidR="00FB5F09" w:rsidRPr="00FB5F09">
              <w:rPr>
                <w:webHidden/>
                <w:sz w:val="24"/>
                <w:szCs w:val="24"/>
              </w:rPr>
              <w:instrText xml:space="preserve"> PAGEREF _Toc8236626 \h </w:instrText>
            </w:r>
            <w:r w:rsidR="00FB5F09" w:rsidRPr="00FB5F09">
              <w:rPr>
                <w:webHidden/>
                <w:sz w:val="24"/>
                <w:szCs w:val="24"/>
              </w:rPr>
            </w:r>
            <w:r w:rsidR="00FB5F09" w:rsidRPr="00FB5F09">
              <w:rPr>
                <w:webHidden/>
                <w:sz w:val="24"/>
                <w:szCs w:val="24"/>
              </w:rPr>
              <w:fldChar w:fldCharType="separate"/>
            </w:r>
            <w:r w:rsidR="00E02A35">
              <w:rPr>
                <w:webHidden/>
                <w:sz w:val="24"/>
                <w:szCs w:val="24"/>
              </w:rPr>
              <w:t>2</w:t>
            </w:r>
            <w:r w:rsidR="00FB5F09" w:rsidRPr="00FB5F09">
              <w:rPr>
                <w:webHidden/>
                <w:sz w:val="24"/>
                <w:szCs w:val="24"/>
              </w:rPr>
              <w:fldChar w:fldCharType="end"/>
            </w:r>
          </w:hyperlink>
        </w:p>
        <w:p w:rsidR="00FB5F09" w:rsidRPr="00FB5F09" w:rsidRDefault="00525303" w:rsidP="00E02A35">
          <w:pPr>
            <w:pStyle w:val="TDC1"/>
            <w:spacing w:line="360" w:lineRule="auto"/>
            <w:ind w:hanging="284"/>
            <w:rPr>
              <w:rFonts w:eastAsiaTheme="minorEastAsia"/>
              <w:b w:val="0"/>
              <w:sz w:val="24"/>
              <w:szCs w:val="24"/>
              <w:lang w:eastAsia="es-MX"/>
            </w:rPr>
          </w:pPr>
          <w:hyperlink w:anchor="_Toc8236627" w:history="1">
            <w:r w:rsidR="00FB5F09" w:rsidRPr="00FB5F09">
              <w:rPr>
                <w:rStyle w:val="Hipervnculo"/>
                <w:rFonts w:eastAsia="Calibri"/>
                <w:sz w:val="24"/>
                <w:szCs w:val="24"/>
                <w:lang w:val="es-ES"/>
              </w:rPr>
              <w:t>II.</w:t>
            </w:r>
            <w:r w:rsidR="00FB5F09" w:rsidRPr="00FB5F09">
              <w:rPr>
                <w:rFonts w:eastAsiaTheme="minorEastAsia"/>
                <w:b w:val="0"/>
                <w:sz w:val="24"/>
                <w:szCs w:val="24"/>
                <w:lang w:eastAsia="es-MX"/>
              </w:rPr>
              <w:tab/>
            </w:r>
            <w:r w:rsidR="00FB5F09" w:rsidRPr="00FB5F09">
              <w:rPr>
                <w:rStyle w:val="Hipervnculo"/>
                <w:rFonts w:eastAsia="Calibri"/>
                <w:sz w:val="24"/>
                <w:szCs w:val="24"/>
                <w:lang w:val="es-ES"/>
              </w:rPr>
              <w:t>De los requerimientos planteados en el recurso de revisión.</w:t>
            </w:r>
            <w:r w:rsidR="00FB5F09" w:rsidRPr="00FB5F09">
              <w:rPr>
                <w:webHidden/>
                <w:sz w:val="24"/>
                <w:szCs w:val="24"/>
              </w:rPr>
              <w:tab/>
            </w:r>
            <w:r w:rsidR="00FB5F09" w:rsidRPr="00FB5F09">
              <w:rPr>
                <w:webHidden/>
                <w:sz w:val="24"/>
                <w:szCs w:val="24"/>
              </w:rPr>
              <w:fldChar w:fldCharType="begin"/>
            </w:r>
            <w:r w:rsidR="00FB5F09" w:rsidRPr="00FB5F09">
              <w:rPr>
                <w:webHidden/>
                <w:sz w:val="24"/>
                <w:szCs w:val="24"/>
              </w:rPr>
              <w:instrText xml:space="preserve"> PAGEREF _Toc8236627 \h </w:instrText>
            </w:r>
            <w:r w:rsidR="00FB5F09" w:rsidRPr="00FB5F09">
              <w:rPr>
                <w:webHidden/>
                <w:sz w:val="24"/>
                <w:szCs w:val="24"/>
              </w:rPr>
            </w:r>
            <w:r w:rsidR="00FB5F09" w:rsidRPr="00FB5F09">
              <w:rPr>
                <w:webHidden/>
                <w:sz w:val="24"/>
                <w:szCs w:val="24"/>
              </w:rPr>
              <w:fldChar w:fldCharType="separate"/>
            </w:r>
            <w:r w:rsidR="00E02A35">
              <w:rPr>
                <w:webHidden/>
                <w:sz w:val="24"/>
                <w:szCs w:val="24"/>
              </w:rPr>
              <w:t>3</w:t>
            </w:r>
            <w:r w:rsidR="00FB5F09" w:rsidRPr="00FB5F09">
              <w:rPr>
                <w:webHidden/>
                <w:sz w:val="24"/>
                <w:szCs w:val="24"/>
              </w:rPr>
              <w:fldChar w:fldCharType="end"/>
            </w:r>
          </w:hyperlink>
        </w:p>
        <w:p w:rsidR="00FB5F09" w:rsidRPr="00FB5F09" w:rsidRDefault="00525303" w:rsidP="00E02A35">
          <w:pPr>
            <w:pStyle w:val="TDC1"/>
            <w:spacing w:line="360" w:lineRule="auto"/>
            <w:ind w:hanging="284"/>
            <w:rPr>
              <w:rFonts w:eastAsiaTheme="minorEastAsia"/>
              <w:b w:val="0"/>
              <w:sz w:val="24"/>
              <w:szCs w:val="24"/>
              <w:lang w:eastAsia="es-MX"/>
            </w:rPr>
          </w:pPr>
          <w:hyperlink w:anchor="_Toc8236628" w:history="1">
            <w:r w:rsidR="00FB5F09" w:rsidRPr="00FB5F09">
              <w:rPr>
                <w:rStyle w:val="Hipervnculo"/>
                <w:sz w:val="24"/>
                <w:szCs w:val="24"/>
              </w:rPr>
              <w:t>III.</w:t>
            </w:r>
            <w:r w:rsidR="00FB5F09" w:rsidRPr="00FB5F09">
              <w:rPr>
                <w:rFonts w:eastAsiaTheme="minorEastAsia"/>
                <w:b w:val="0"/>
                <w:sz w:val="24"/>
                <w:szCs w:val="24"/>
                <w:lang w:eastAsia="es-MX"/>
              </w:rPr>
              <w:tab/>
            </w:r>
            <w:r w:rsidR="00FB5F09" w:rsidRPr="00FB5F09">
              <w:rPr>
                <w:rStyle w:val="Hipervnculo"/>
                <w:sz w:val="24"/>
                <w:szCs w:val="24"/>
              </w:rPr>
              <w:t>Cuestiones de Especial Pronunciamiento.</w:t>
            </w:r>
            <w:r w:rsidR="00FB5F09" w:rsidRPr="00FB5F09">
              <w:rPr>
                <w:webHidden/>
                <w:sz w:val="24"/>
                <w:szCs w:val="24"/>
              </w:rPr>
              <w:tab/>
            </w:r>
            <w:r w:rsidR="00FB5F09" w:rsidRPr="00FB5F09">
              <w:rPr>
                <w:webHidden/>
                <w:sz w:val="24"/>
                <w:szCs w:val="24"/>
              </w:rPr>
              <w:fldChar w:fldCharType="begin"/>
            </w:r>
            <w:r w:rsidR="00FB5F09" w:rsidRPr="00FB5F09">
              <w:rPr>
                <w:webHidden/>
                <w:sz w:val="24"/>
                <w:szCs w:val="24"/>
              </w:rPr>
              <w:instrText xml:space="preserve"> PAGEREF _Toc8236628 \h </w:instrText>
            </w:r>
            <w:r w:rsidR="00FB5F09" w:rsidRPr="00FB5F09">
              <w:rPr>
                <w:webHidden/>
                <w:sz w:val="24"/>
                <w:szCs w:val="24"/>
              </w:rPr>
            </w:r>
            <w:r w:rsidR="00FB5F09" w:rsidRPr="00FB5F09">
              <w:rPr>
                <w:webHidden/>
                <w:sz w:val="24"/>
                <w:szCs w:val="24"/>
              </w:rPr>
              <w:fldChar w:fldCharType="separate"/>
            </w:r>
            <w:r w:rsidR="00E02A35">
              <w:rPr>
                <w:webHidden/>
                <w:sz w:val="24"/>
                <w:szCs w:val="24"/>
              </w:rPr>
              <w:t>6</w:t>
            </w:r>
            <w:r w:rsidR="00FB5F09" w:rsidRPr="00FB5F09">
              <w:rPr>
                <w:webHidden/>
                <w:sz w:val="24"/>
                <w:szCs w:val="24"/>
              </w:rPr>
              <w:fldChar w:fldCharType="end"/>
            </w:r>
          </w:hyperlink>
        </w:p>
        <w:p w:rsidR="00FB5F09" w:rsidRPr="00FB5F09" w:rsidRDefault="00525303" w:rsidP="00E02A35">
          <w:pPr>
            <w:pStyle w:val="TDC2"/>
            <w:spacing w:line="360" w:lineRule="auto"/>
            <w:ind w:hanging="284"/>
            <w:rPr>
              <w:rFonts w:ascii="Palatino Linotype" w:eastAsiaTheme="minorEastAsia" w:hAnsi="Palatino Linotype"/>
              <w:noProof/>
              <w:sz w:val="24"/>
              <w:szCs w:val="24"/>
              <w:lang w:eastAsia="es-MX"/>
            </w:rPr>
          </w:pPr>
          <w:hyperlink w:anchor="_Toc8236629" w:history="1">
            <w:r w:rsidR="00FB5F09" w:rsidRPr="00FB5F09">
              <w:rPr>
                <w:rStyle w:val="Hipervnculo"/>
                <w:rFonts w:ascii="Palatino Linotype" w:hAnsi="Palatino Linotype"/>
                <w:b/>
                <w:noProof/>
                <w:sz w:val="24"/>
                <w:szCs w:val="24"/>
              </w:rPr>
              <w:t>IV. Del Derecho de Acceso a la Información Pública.</w:t>
            </w:r>
            <w:r w:rsidR="00FB5F09" w:rsidRPr="00FB5F09">
              <w:rPr>
                <w:rFonts w:ascii="Palatino Linotype" w:hAnsi="Palatino Linotype"/>
                <w:noProof/>
                <w:webHidden/>
                <w:sz w:val="24"/>
                <w:szCs w:val="24"/>
              </w:rPr>
              <w:tab/>
            </w:r>
            <w:r w:rsidR="00FB5F09" w:rsidRPr="00FB5F09">
              <w:rPr>
                <w:rFonts w:ascii="Palatino Linotype" w:hAnsi="Palatino Linotype"/>
                <w:noProof/>
                <w:webHidden/>
                <w:sz w:val="24"/>
                <w:szCs w:val="24"/>
              </w:rPr>
              <w:fldChar w:fldCharType="begin"/>
            </w:r>
            <w:r w:rsidR="00FB5F09" w:rsidRPr="00FB5F09">
              <w:rPr>
                <w:rFonts w:ascii="Palatino Linotype" w:hAnsi="Palatino Linotype"/>
                <w:noProof/>
                <w:webHidden/>
                <w:sz w:val="24"/>
                <w:szCs w:val="24"/>
              </w:rPr>
              <w:instrText xml:space="preserve"> PAGEREF _Toc8236629 \h </w:instrText>
            </w:r>
            <w:r w:rsidR="00FB5F09" w:rsidRPr="00FB5F09">
              <w:rPr>
                <w:rFonts w:ascii="Palatino Linotype" w:hAnsi="Palatino Linotype"/>
                <w:noProof/>
                <w:webHidden/>
                <w:sz w:val="24"/>
                <w:szCs w:val="24"/>
              </w:rPr>
            </w:r>
            <w:r w:rsidR="00FB5F09" w:rsidRPr="00FB5F09">
              <w:rPr>
                <w:rFonts w:ascii="Palatino Linotype" w:hAnsi="Palatino Linotype"/>
                <w:noProof/>
                <w:webHidden/>
                <w:sz w:val="24"/>
                <w:szCs w:val="24"/>
              </w:rPr>
              <w:fldChar w:fldCharType="separate"/>
            </w:r>
            <w:r w:rsidR="00E02A35">
              <w:rPr>
                <w:rFonts w:ascii="Palatino Linotype" w:hAnsi="Palatino Linotype"/>
                <w:noProof/>
                <w:webHidden/>
                <w:sz w:val="24"/>
                <w:szCs w:val="24"/>
              </w:rPr>
              <w:t>10</w:t>
            </w:r>
            <w:r w:rsidR="00FB5F09" w:rsidRPr="00FB5F09">
              <w:rPr>
                <w:rFonts w:ascii="Palatino Linotype" w:hAnsi="Palatino Linotype"/>
                <w:noProof/>
                <w:webHidden/>
                <w:sz w:val="24"/>
                <w:szCs w:val="24"/>
              </w:rPr>
              <w:fldChar w:fldCharType="end"/>
            </w:r>
          </w:hyperlink>
        </w:p>
        <w:p w:rsidR="00FB5F09" w:rsidRPr="00FB5F09" w:rsidRDefault="00525303" w:rsidP="00E02A35">
          <w:pPr>
            <w:pStyle w:val="TDC1"/>
            <w:spacing w:line="360" w:lineRule="auto"/>
            <w:ind w:hanging="284"/>
            <w:rPr>
              <w:rFonts w:eastAsiaTheme="minorEastAsia"/>
              <w:b w:val="0"/>
              <w:sz w:val="24"/>
              <w:szCs w:val="24"/>
              <w:lang w:eastAsia="es-MX"/>
            </w:rPr>
          </w:pPr>
          <w:hyperlink w:anchor="_Toc8236630" w:history="1">
            <w:r w:rsidR="00FB5F09" w:rsidRPr="00FB5F09">
              <w:rPr>
                <w:rStyle w:val="Hipervnculo"/>
                <w:rFonts w:eastAsia="Calibri"/>
                <w:sz w:val="24"/>
                <w:szCs w:val="24"/>
              </w:rPr>
              <w:t>V. Del Pronunciamiento Simple.</w:t>
            </w:r>
            <w:r w:rsidR="00FB5F09" w:rsidRPr="00FB5F09">
              <w:rPr>
                <w:webHidden/>
                <w:sz w:val="24"/>
                <w:szCs w:val="24"/>
              </w:rPr>
              <w:tab/>
            </w:r>
            <w:r w:rsidR="00FB5F09" w:rsidRPr="00FB5F09">
              <w:rPr>
                <w:webHidden/>
                <w:sz w:val="24"/>
                <w:szCs w:val="24"/>
              </w:rPr>
              <w:fldChar w:fldCharType="begin"/>
            </w:r>
            <w:r w:rsidR="00FB5F09" w:rsidRPr="00FB5F09">
              <w:rPr>
                <w:webHidden/>
                <w:sz w:val="24"/>
                <w:szCs w:val="24"/>
              </w:rPr>
              <w:instrText xml:space="preserve"> PAGEREF _Toc8236630 \h </w:instrText>
            </w:r>
            <w:r w:rsidR="00FB5F09" w:rsidRPr="00FB5F09">
              <w:rPr>
                <w:webHidden/>
                <w:sz w:val="24"/>
                <w:szCs w:val="24"/>
              </w:rPr>
            </w:r>
            <w:r w:rsidR="00FB5F09" w:rsidRPr="00FB5F09">
              <w:rPr>
                <w:webHidden/>
                <w:sz w:val="24"/>
                <w:szCs w:val="24"/>
              </w:rPr>
              <w:fldChar w:fldCharType="separate"/>
            </w:r>
            <w:r w:rsidR="00E02A35">
              <w:rPr>
                <w:webHidden/>
                <w:sz w:val="24"/>
                <w:szCs w:val="24"/>
              </w:rPr>
              <w:t>14</w:t>
            </w:r>
            <w:r w:rsidR="00FB5F09" w:rsidRPr="00FB5F09">
              <w:rPr>
                <w:webHidden/>
                <w:sz w:val="24"/>
                <w:szCs w:val="24"/>
              </w:rPr>
              <w:fldChar w:fldCharType="end"/>
            </w:r>
          </w:hyperlink>
        </w:p>
        <w:p w:rsidR="00FB5F09" w:rsidRPr="00FB5F09" w:rsidRDefault="00525303" w:rsidP="00E02A35">
          <w:pPr>
            <w:pStyle w:val="TDC1"/>
            <w:spacing w:line="360" w:lineRule="auto"/>
            <w:ind w:hanging="284"/>
            <w:rPr>
              <w:rFonts w:eastAsiaTheme="minorEastAsia"/>
              <w:b w:val="0"/>
              <w:sz w:val="24"/>
              <w:szCs w:val="24"/>
              <w:lang w:eastAsia="es-MX"/>
            </w:rPr>
          </w:pPr>
          <w:hyperlink w:anchor="_Toc8236631" w:history="1">
            <w:r w:rsidR="00FB5F09" w:rsidRPr="00FB5F09">
              <w:rPr>
                <w:rStyle w:val="Hipervnculo"/>
                <w:rFonts w:eastAsia="Calibri"/>
                <w:sz w:val="24"/>
                <w:szCs w:val="24"/>
              </w:rPr>
              <w:t>VI. De la Información Reservada.</w:t>
            </w:r>
            <w:r w:rsidR="00FB5F09" w:rsidRPr="00FB5F09">
              <w:rPr>
                <w:webHidden/>
                <w:sz w:val="24"/>
                <w:szCs w:val="24"/>
              </w:rPr>
              <w:tab/>
            </w:r>
            <w:r w:rsidR="00FB5F09" w:rsidRPr="00FB5F09">
              <w:rPr>
                <w:webHidden/>
                <w:sz w:val="24"/>
                <w:szCs w:val="24"/>
              </w:rPr>
              <w:fldChar w:fldCharType="begin"/>
            </w:r>
            <w:r w:rsidR="00FB5F09" w:rsidRPr="00FB5F09">
              <w:rPr>
                <w:webHidden/>
                <w:sz w:val="24"/>
                <w:szCs w:val="24"/>
              </w:rPr>
              <w:instrText xml:space="preserve"> PAGEREF _Toc8236631 \h </w:instrText>
            </w:r>
            <w:r w:rsidR="00FB5F09" w:rsidRPr="00FB5F09">
              <w:rPr>
                <w:webHidden/>
                <w:sz w:val="24"/>
                <w:szCs w:val="24"/>
              </w:rPr>
            </w:r>
            <w:r w:rsidR="00FB5F09" w:rsidRPr="00FB5F09">
              <w:rPr>
                <w:webHidden/>
                <w:sz w:val="24"/>
                <w:szCs w:val="24"/>
              </w:rPr>
              <w:fldChar w:fldCharType="separate"/>
            </w:r>
            <w:r w:rsidR="00E02A35">
              <w:rPr>
                <w:webHidden/>
                <w:sz w:val="24"/>
                <w:szCs w:val="24"/>
              </w:rPr>
              <w:t>21</w:t>
            </w:r>
            <w:r w:rsidR="00FB5F09" w:rsidRPr="00FB5F09">
              <w:rPr>
                <w:webHidden/>
                <w:sz w:val="24"/>
                <w:szCs w:val="24"/>
              </w:rPr>
              <w:fldChar w:fldCharType="end"/>
            </w:r>
          </w:hyperlink>
        </w:p>
        <w:p w:rsidR="00FB5F09" w:rsidRPr="00FB5F09" w:rsidRDefault="00525303" w:rsidP="00E02A35">
          <w:pPr>
            <w:pStyle w:val="TDC1"/>
            <w:spacing w:line="360" w:lineRule="auto"/>
            <w:ind w:hanging="284"/>
            <w:rPr>
              <w:rFonts w:eastAsiaTheme="minorEastAsia"/>
              <w:b w:val="0"/>
              <w:sz w:val="24"/>
              <w:szCs w:val="24"/>
              <w:lang w:eastAsia="es-MX"/>
            </w:rPr>
          </w:pPr>
          <w:hyperlink w:anchor="_Toc8236632" w:history="1">
            <w:r w:rsidR="00FB5F09" w:rsidRPr="00FB5F09">
              <w:rPr>
                <w:rStyle w:val="Hipervnculo"/>
                <w:rFonts w:eastAsia="Calibri"/>
                <w:sz w:val="24"/>
                <w:szCs w:val="24"/>
              </w:rPr>
              <w:t>VII. Conclusión.</w:t>
            </w:r>
            <w:r w:rsidR="00FB5F09" w:rsidRPr="00FB5F09">
              <w:rPr>
                <w:webHidden/>
                <w:sz w:val="24"/>
                <w:szCs w:val="24"/>
              </w:rPr>
              <w:tab/>
            </w:r>
            <w:r w:rsidR="00FB5F09" w:rsidRPr="00FB5F09">
              <w:rPr>
                <w:webHidden/>
                <w:sz w:val="24"/>
                <w:szCs w:val="24"/>
              </w:rPr>
              <w:fldChar w:fldCharType="begin"/>
            </w:r>
            <w:r w:rsidR="00FB5F09" w:rsidRPr="00FB5F09">
              <w:rPr>
                <w:webHidden/>
                <w:sz w:val="24"/>
                <w:szCs w:val="24"/>
              </w:rPr>
              <w:instrText xml:space="preserve"> PAGEREF _Toc8236632 \h </w:instrText>
            </w:r>
            <w:r w:rsidR="00FB5F09" w:rsidRPr="00FB5F09">
              <w:rPr>
                <w:webHidden/>
                <w:sz w:val="24"/>
                <w:szCs w:val="24"/>
              </w:rPr>
            </w:r>
            <w:r w:rsidR="00FB5F09" w:rsidRPr="00FB5F09">
              <w:rPr>
                <w:webHidden/>
                <w:sz w:val="24"/>
                <w:szCs w:val="24"/>
              </w:rPr>
              <w:fldChar w:fldCharType="separate"/>
            </w:r>
            <w:r w:rsidR="00E02A35">
              <w:rPr>
                <w:webHidden/>
                <w:sz w:val="24"/>
                <w:szCs w:val="24"/>
              </w:rPr>
              <w:t>25</w:t>
            </w:r>
            <w:r w:rsidR="00FB5F09" w:rsidRPr="00FB5F09">
              <w:rPr>
                <w:webHidden/>
                <w:sz w:val="24"/>
                <w:szCs w:val="24"/>
              </w:rPr>
              <w:fldChar w:fldCharType="end"/>
            </w:r>
          </w:hyperlink>
        </w:p>
        <w:p w:rsidR="00E6179D" w:rsidRPr="00460FFC" w:rsidRDefault="00E6179D" w:rsidP="00E02A35">
          <w:pPr>
            <w:spacing w:line="360" w:lineRule="auto"/>
            <w:ind w:left="567" w:hanging="283"/>
            <w:rPr>
              <w:rFonts w:ascii="Palatino Linotype" w:hAnsi="Palatino Linotype"/>
              <w:sz w:val="24"/>
              <w:szCs w:val="24"/>
            </w:rPr>
          </w:pPr>
          <w:r w:rsidRPr="00483F14">
            <w:rPr>
              <w:rFonts w:ascii="Palatino Linotype" w:hAnsi="Palatino Linotype"/>
              <w:b/>
              <w:bCs/>
              <w:sz w:val="24"/>
              <w:szCs w:val="24"/>
              <w:lang w:val="es-ES"/>
            </w:rPr>
            <w:fldChar w:fldCharType="end"/>
          </w:r>
        </w:p>
      </w:sdtContent>
    </w:sdt>
    <w:p w:rsidR="00E6179D" w:rsidRPr="00427B79" w:rsidRDefault="00E6179D" w:rsidP="00E02A35">
      <w:pPr>
        <w:pStyle w:val="Ttulo1"/>
        <w:numPr>
          <w:ilvl w:val="0"/>
          <w:numId w:val="2"/>
        </w:numPr>
        <w:spacing w:line="360" w:lineRule="auto"/>
        <w:ind w:left="0" w:firstLine="0"/>
        <w:rPr>
          <w:rFonts w:eastAsia="Times New Roman"/>
          <w:color w:val="auto"/>
          <w:szCs w:val="24"/>
        </w:rPr>
      </w:pPr>
      <w:bookmarkStart w:id="1" w:name="_Toc8236626"/>
      <w:r w:rsidRPr="00427B79">
        <w:rPr>
          <w:rFonts w:eastAsia="Times New Roman"/>
          <w:color w:val="auto"/>
          <w:szCs w:val="24"/>
        </w:rPr>
        <w:t>Consideraciones Generales</w:t>
      </w:r>
      <w:bookmarkEnd w:id="1"/>
    </w:p>
    <w:p w:rsidR="0003648B" w:rsidRPr="00427B79" w:rsidRDefault="0003648B" w:rsidP="00E02A35">
      <w:pPr>
        <w:pStyle w:val="TDC1"/>
        <w:spacing w:line="360" w:lineRule="auto"/>
        <w:ind w:left="0"/>
        <w:rPr>
          <w:sz w:val="24"/>
          <w:szCs w:val="24"/>
          <w:lang w:val="es-ES"/>
        </w:rPr>
      </w:pPr>
    </w:p>
    <w:p w:rsidR="00E6179D" w:rsidRPr="00203A60" w:rsidRDefault="00E6179D" w:rsidP="00E02A35">
      <w:pPr>
        <w:numPr>
          <w:ilvl w:val="0"/>
          <w:numId w:val="1"/>
        </w:numPr>
        <w:spacing w:after="0" w:line="360" w:lineRule="auto"/>
        <w:ind w:left="0" w:firstLine="0"/>
        <w:contextualSpacing/>
        <w:jc w:val="both"/>
        <w:rPr>
          <w:rFonts w:ascii="Palatino Linotype" w:eastAsia="Calibri" w:hAnsi="Palatino Linotype" w:cs="Arial"/>
          <w:sz w:val="24"/>
          <w:szCs w:val="24"/>
        </w:rPr>
      </w:pPr>
      <w:r w:rsidRPr="00203A60">
        <w:rPr>
          <w:rFonts w:ascii="Palatino Linotype" w:eastAsia="Times New Roman" w:hAnsi="Palatino Linotype" w:cs="Arial"/>
          <w:sz w:val="24"/>
          <w:szCs w:val="24"/>
          <w:lang w:val="es-ES_tradnl"/>
        </w:rPr>
        <w:t>He con</w:t>
      </w:r>
      <w:r w:rsidR="009658BA" w:rsidRPr="00203A60">
        <w:rPr>
          <w:rFonts w:ascii="Palatino Linotype" w:eastAsia="Times New Roman" w:hAnsi="Palatino Linotype" w:cs="Arial"/>
          <w:sz w:val="24"/>
          <w:szCs w:val="24"/>
          <w:lang w:val="es-ES_tradnl"/>
        </w:rPr>
        <w:t>currido con mi voto particular en</w:t>
      </w:r>
      <w:r w:rsidRPr="00203A60">
        <w:rPr>
          <w:rFonts w:ascii="Palatino Linotype" w:eastAsia="Times New Roman" w:hAnsi="Palatino Linotype" w:cs="Arial"/>
          <w:sz w:val="24"/>
          <w:szCs w:val="24"/>
          <w:lang w:val="es-ES_tradnl"/>
        </w:rPr>
        <w:t xml:space="preserve"> la presente resolución emitida </w:t>
      </w:r>
      <w:r w:rsidRPr="00203A60">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9658BA" w:rsidRPr="00203A60">
        <w:rPr>
          <w:rFonts w:ascii="Palatino Linotype" w:eastAsia="Calibri" w:hAnsi="Palatino Linotype" w:cs="Arial"/>
          <w:sz w:val="24"/>
          <w:szCs w:val="24"/>
        </w:rPr>
        <w:t>Décimo Sexta</w:t>
      </w:r>
      <w:r w:rsidR="00DB39B5" w:rsidRPr="00203A60">
        <w:rPr>
          <w:rFonts w:ascii="Palatino Linotype" w:eastAsia="Calibri" w:hAnsi="Palatino Linotype" w:cs="Arial"/>
          <w:sz w:val="24"/>
          <w:szCs w:val="24"/>
        </w:rPr>
        <w:t xml:space="preserve"> </w:t>
      </w:r>
      <w:r w:rsidRPr="00203A60">
        <w:rPr>
          <w:rFonts w:ascii="Palatino Linotype" w:eastAsia="Calibri" w:hAnsi="Palatino Linotype" w:cs="Arial"/>
          <w:sz w:val="24"/>
          <w:szCs w:val="24"/>
        </w:rPr>
        <w:t>Se</w:t>
      </w:r>
      <w:r w:rsidR="009658BA" w:rsidRPr="00203A60">
        <w:rPr>
          <w:rFonts w:ascii="Palatino Linotype" w:eastAsia="Calibri" w:hAnsi="Palatino Linotype" w:cs="Arial"/>
          <w:sz w:val="24"/>
          <w:szCs w:val="24"/>
        </w:rPr>
        <w:t xml:space="preserve">sión Ordinaria celebrada el día dos </w:t>
      </w:r>
      <w:r w:rsidRPr="00203A60">
        <w:rPr>
          <w:rFonts w:ascii="Palatino Linotype" w:eastAsia="Calibri" w:hAnsi="Palatino Linotype" w:cs="Arial"/>
          <w:sz w:val="24"/>
          <w:szCs w:val="24"/>
        </w:rPr>
        <w:t>(</w:t>
      </w:r>
      <w:r w:rsidR="009658BA" w:rsidRPr="00203A60">
        <w:rPr>
          <w:rFonts w:ascii="Palatino Linotype" w:eastAsia="Calibri" w:hAnsi="Palatino Linotype" w:cs="Arial"/>
          <w:sz w:val="24"/>
          <w:szCs w:val="24"/>
        </w:rPr>
        <w:t>02</w:t>
      </w:r>
      <w:r w:rsidRPr="00203A60">
        <w:rPr>
          <w:rFonts w:ascii="Palatino Linotype" w:eastAsia="Calibri" w:hAnsi="Palatino Linotype" w:cs="Arial"/>
          <w:sz w:val="24"/>
          <w:szCs w:val="24"/>
        </w:rPr>
        <w:t xml:space="preserve">) de </w:t>
      </w:r>
      <w:r w:rsidR="009658BA" w:rsidRPr="00203A60">
        <w:rPr>
          <w:rFonts w:ascii="Palatino Linotype" w:eastAsia="Calibri" w:hAnsi="Palatino Linotype" w:cs="Arial"/>
          <w:sz w:val="24"/>
          <w:szCs w:val="24"/>
        </w:rPr>
        <w:t>mayo</w:t>
      </w:r>
      <w:r w:rsidRPr="00203A60">
        <w:rPr>
          <w:rFonts w:ascii="Palatino Linotype" w:eastAsia="Calibri" w:hAnsi="Palatino Linotype" w:cs="Arial"/>
          <w:sz w:val="24"/>
          <w:szCs w:val="24"/>
        </w:rPr>
        <w:t xml:space="preserve"> de</w:t>
      </w:r>
      <w:r w:rsidR="001F0E58" w:rsidRPr="00203A60">
        <w:rPr>
          <w:rFonts w:ascii="Palatino Linotype" w:eastAsia="Calibri" w:hAnsi="Palatino Linotype" w:cs="Arial"/>
          <w:sz w:val="24"/>
          <w:szCs w:val="24"/>
        </w:rPr>
        <w:t>l</w:t>
      </w:r>
      <w:r w:rsidRPr="00203A60">
        <w:rPr>
          <w:rFonts w:ascii="Palatino Linotype" w:eastAsia="Calibri" w:hAnsi="Palatino Linotype" w:cs="Arial"/>
          <w:sz w:val="24"/>
          <w:szCs w:val="24"/>
        </w:rPr>
        <w:t xml:space="preserve"> </w:t>
      </w:r>
      <w:r w:rsidR="009658BA" w:rsidRPr="00203A60">
        <w:rPr>
          <w:rFonts w:ascii="Palatino Linotype" w:eastAsia="Calibri" w:hAnsi="Palatino Linotype" w:cs="Arial"/>
          <w:sz w:val="24"/>
          <w:szCs w:val="24"/>
        </w:rPr>
        <w:t>dos mil diecinueve</w:t>
      </w:r>
      <w:r w:rsidRPr="00203A60">
        <w:rPr>
          <w:rFonts w:ascii="Palatino Linotype" w:eastAsia="Calibri" w:hAnsi="Palatino Linotype" w:cs="Arial"/>
          <w:sz w:val="24"/>
          <w:szCs w:val="24"/>
        </w:rPr>
        <w:t>, en el recurso de revisión interpuesto</w:t>
      </w:r>
      <w:r w:rsidR="003E0648" w:rsidRPr="00203A60">
        <w:rPr>
          <w:rFonts w:ascii="Palatino Linotype" w:eastAsia="Calibri" w:hAnsi="Palatino Linotype" w:cs="Arial"/>
          <w:b/>
          <w:sz w:val="24"/>
          <w:szCs w:val="24"/>
        </w:rPr>
        <w:t xml:space="preserve"> </w:t>
      </w:r>
      <w:r w:rsidR="003E0648" w:rsidRPr="00203A60">
        <w:rPr>
          <w:rFonts w:ascii="Palatino Linotype" w:eastAsia="Calibri" w:hAnsi="Palatino Linotype" w:cs="Arial"/>
          <w:sz w:val="24"/>
          <w:szCs w:val="24"/>
        </w:rPr>
        <w:t>en contra de la respuesta de</w:t>
      </w:r>
      <w:r w:rsidR="009658BA" w:rsidRPr="00203A60">
        <w:rPr>
          <w:rFonts w:ascii="Palatino Linotype" w:eastAsia="Calibri" w:hAnsi="Palatino Linotype" w:cs="Arial"/>
          <w:sz w:val="24"/>
          <w:szCs w:val="24"/>
        </w:rPr>
        <w:t>l</w:t>
      </w:r>
      <w:r w:rsidR="00BB4414" w:rsidRPr="00203A60">
        <w:rPr>
          <w:sz w:val="24"/>
          <w:szCs w:val="24"/>
        </w:rPr>
        <w:t xml:space="preserve"> </w:t>
      </w:r>
      <w:r w:rsidR="009658BA" w:rsidRPr="00203A60">
        <w:rPr>
          <w:rFonts w:ascii="Palatino Linotype" w:eastAsia="Calibri" w:hAnsi="Palatino Linotype" w:cs="Arial"/>
          <w:b/>
          <w:sz w:val="24"/>
          <w:szCs w:val="24"/>
        </w:rPr>
        <w:t>Colegio de Estudios Científicos y Tecnológicos del Estado de México</w:t>
      </w:r>
      <w:r w:rsidR="00B3675E" w:rsidRPr="00203A60">
        <w:rPr>
          <w:rFonts w:ascii="Palatino Linotype" w:eastAsia="Times New Roman" w:hAnsi="Palatino Linotype" w:cs="Arial"/>
          <w:b/>
          <w:sz w:val="24"/>
          <w:szCs w:val="24"/>
          <w:lang w:val="es-ES" w:eastAsia="es-ES"/>
        </w:rPr>
        <w:t>,</w:t>
      </w:r>
      <w:r w:rsidRPr="00203A60">
        <w:rPr>
          <w:rFonts w:ascii="Palatino Linotype" w:eastAsia="Calibri" w:hAnsi="Palatino Linotype" w:cs="Arial"/>
          <w:b/>
          <w:sz w:val="24"/>
          <w:szCs w:val="24"/>
        </w:rPr>
        <w:t xml:space="preserve"> </w:t>
      </w:r>
      <w:r w:rsidRPr="00203A60">
        <w:rPr>
          <w:rFonts w:ascii="Palatino Linotype" w:eastAsia="Calibri" w:hAnsi="Palatino Linotype" w:cs="Arial"/>
          <w:sz w:val="24"/>
          <w:szCs w:val="24"/>
        </w:rPr>
        <w:t>procedimiento que le fue asignado el número de expediente</w:t>
      </w:r>
      <w:r w:rsidR="009658BA" w:rsidRPr="00203A60">
        <w:rPr>
          <w:rFonts w:ascii="Palatino Linotype" w:hAnsi="Palatino Linotype"/>
          <w:b/>
          <w:sz w:val="24"/>
          <w:szCs w:val="24"/>
        </w:rPr>
        <w:t xml:space="preserve"> </w:t>
      </w:r>
      <w:r w:rsidR="009658BA" w:rsidRPr="00203A60">
        <w:rPr>
          <w:rFonts w:ascii="Palatino Linotype" w:hAnsi="Palatino Linotype"/>
          <w:sz w:val="24"/>
          <w:szCs w:val="24"/>
        </w:rPr>
        <w:t>al rubro indicado.</w:t>
      </w:r>
      <w:r w:rsidR="009658BA" w:rsidRPr="00203A60">
        <w:rPr>
          <w:rFonts w:ascii="Palatino Linotype" w:hAnsi="Palatino Linotype"/>
          <w:b/>
          <w:sz w:val="24"/>
          <w:szCs w:val="24"/>
        </w:rPr>
        <w:t xml:space="preserve"> </w:t>
      </w:r>
    </w:p>
    <w:p w:rsidR="00E6179D" w:rsidRPr="00427B79" w:rsidRDefault="00E6179D" w:rsidP="00E02A35">
      <w:pPr>
        <w:spacing w:after="0" w:line="360" w:lineRule="auto"/>
        <w:contextualSpacing/>
        <w:jc w:val="both"/>
        <w:rPr>
          <w:rFonts w:ascii="Palatino Linotype" w:eastAsia="Calibri" w:hAnsi="Palatino Linotype" w:cs="Arial"/>
          <w:sz w:val="24"/>
          <w:szCs w:val="24"/>
        </w:rPr>
      </w:pPr>
    </w:p>
    <w:p w:rsidR="00E6179D" w:rsidRPr="00427B79" w:rsidRDefault="00E6179D" w:rsidP="00E02A35">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La resolución puntualmente determina </w:t>
      </w:r>
      <w:r w:rsidR="009658BA">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02A35">
      <w:pPr>
        <w:spacing w:after="0" w:line="360" w:lineRule="auto"/>
        <w:contextualSpacing/>
        <w:jc w:val="both"/>
        <w:rPr>
          <w:rFonts w:ascii="Palatino Linotype" w:eastAsia="Calibri" w:hAnsi="Palatino Linotype" w:cs="Arial"/>
          <w:sz w:val="24"/>
          <w:szCs w:val="24"/>
        </w:rPr>
      </w:pPr>
    </w:p>
    <w:p w:rsidR="00E6179D" w:rsidRPr="00427B79" w:rsidRDefault="00E6179D" w:rsidP="00E02A35">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Estando de acuerdo con la resolución formulada por el comisionado ponente, mi voto particular se deriva</w:t>
      </w:r>
      <w:r w:rsidR="00560CB9">
        <w:rPr>
          <w:rFonts w:ascii="Palatino Linotype" w:eastAsia="Calibri" w:hAnsi="Palatino Linotype" w:cs="Arial"/>
          <w:sz w:val="24"/>
          <w:szCs w:val="24"/>
        </w:rPr>
        <w:t xml:space="preserve"> por una parte </w:t>
      </w:r>
      <w:r w:rsidRPr="00427B79">
        <w:rPr>
          <w:rFonts w:ascii="Palatino Linotype" w:eastAsia="Calibri" w:hAnsi="Palatino Linotype" w:cs="Arial"/>
          <w:sz w:val="24"/>
          <w:szCs w:val="24"/>
        </w:rPr>
        <w:t xml:space="preserve">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w:t>
      </w:r>
      <w:r w:rsidR="00560CB9">
        <w:rPr>
          <w:rFonts w:ascii="Palatino Linotype" w:eastAsia="Calibri" w:hAnsi="Palatino Linotype" w:cs="Arial"/>
          <w:sz w:val="24"/>
          <w:szCs w:val="24"/>
        </w:rPr>
        <w:t xml:space="preserve">a a la solicitud de información y por la otra de la clasificación de la información como reservada que se propone. </w:t>
      </w:r>
    </w:p>
    <w:p w:rsidR="00E6179D" w:rsidRPr="00427B79" w:rsidRDefault="00E6179D" w:rsidP="00E02A35">
      <w:pPr>
        <w:pStyle w:val="Prrafodelista"/>
        <w:spacing w:line="360" w:lineRule="auto"/>
        <w:ind w:left="0"/>
        <w:rPr>
          <w:rFonts w:ascii="Palatino Linotype" w:eastAsia="Calibri" w:hAnsi="Palatino Linotype" w:cs="Arial"/>
          <w:sz w:val="24"/>
          <w:szCs w:val="24"/>
          <w:lang w:val="es-ES"/>
        </w:rPr>
      </w:pPr>
    </w:p>
    <w:p w:rsidR="00E6179D" w:rsidRPr="00427B79" w:rsidRDefault="00E6179D" w:rsidP="00E02A35">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w:t>
      </w:r>
      <w:r w:rsidR="00560CB9">
        <w:rPr>
          <w:rFonts w:ascii="Palatino Linotype" w:eastAsia="Calibri" w:hAnsi="Palatino Linotype" w:cs="Arial"/>
          <w:sz w:val="24"/>
          <w:szCs w:val="24"/>
        </w:rPr>
        <w:t>es</w:t>
      </w:r>
      <w:r w:rsidRPr="00427B79">
        <w:rPr>
          <w:rFonts w:ascii="Palatino Linotype" w:eastAsia="Calibri" w:hAnsi="Palatino Linotype" w:cs="Arial"/>
          <w:sz w:val="24"/>
          <w:szCs w:val="24"/>
        </w:rPr>
        <w:t xml:space="preserve"> motivo</w:t>
      </w:r>
      <w:r w:rsidR="00560CB9">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02A35">
      <w:pPr>
        <w:pStyle w:val="Prrafodelista"/>
        <w:spacing w:line="360" w:lineRule="auto"/>
        <w:ind w:left="0"/>
        <w:rPr>
          <w:rFonts w:ascii="Palatino Linotype" w:eastAsia="Calibri" w:hAnsi="Palatino Linotype" w:cs="Arial"/>
          <w:sz w:val="24"/>
          <w:szCs w:val="24"/>
          <w:lang w:val="es-ES"/>
        </w:rPr>
      </w:pPr>
    </w:p>
    <w:p w:rsidR="00E6179D" w:rsidRPr="00427B79" w:rsidRDefault="00E6179D" w:rsidP="00E02A35">
      <w:pPr>
        <w:pStyle w:val="Ttulo1"/>
        <w:numPr>
          <w:ilvl w:val="0"/>
          <w:numId w:val="2"/>
        </w:numPr>
        <w:spacing w:line="360" w:lineRule="auto"/>
        <w:ind w:left="0" w:firstLine="0"/>
        <w:rPr>
          <w:rFonts w:eastAsia="Calibri"/>
          <w:color w:val="auto"/>
          <w:szCs w:val="24"/>
          <w:lang w:val="es-ES"/>
        </w:rPr>
      </w:pPr>
      <w:bookmarkStart w:id="2" w:name="_Toc8236627"/>
      <w:r w:rsidRPr="00427B79">
        <w:rPr>
          <w:rFonts w:eastAsia="Calibri"/>
          <w:color w:val="auto"/>
          <w:szCs w:val="24"/>
          <w:lang w:val="es-ES"/>
        </w:rPr>
        <w:t>De los requerimientos planteados en el recurso de revisión.</w:t>
      </w:r>
      <w:bookmarkEnd w:id="2"/>
    </w:p>
    <w:p w:rsidR="00E6179D" w:rsidRPr="00427B79" w:rsidRDefault="00E6179D" w:rsidP="00E02A35">
      <w:pPr>
        <w:pStyle w:val="Prrafodelista"/>
        <w:spacing w:line="360" w:lineRule="auto"/>
        <w:ind w:left="0"/>
        <w:rPr>
          <w:rFonts w:ascii="Palatino Linotype" w:eastAsia="Calibri" w:hAnsi="Palatino Linotype" w:cs="Arial"/>
          <w:sz w:val="24"/>
          <w:szCs w:val="24"/>
          <w:lang w:val="es-ES"/>
        </w:rPr>
      </w:pPr>
    </w:p>
    <w:p w:rsidR="00A154B2" w:rsidRPr="00A154B2" w:rsidRDefault="00E6179D" w:rsidP="00E02A35">
      <w:pPr>
        <w:pStyle w:val="Sinespaciado"/>
        <w:numPr>
          <w:ilvl w:val="0"/>
          <w:numId w:val="1"/>
        </w:numPr>
        <w:spacing w:before="240" w:after="240" w:line="360" w:lineRule="auto"/>
        <w:ind w:left="0" w:right="51" w:firstLine="0"/>
        <w:jc w:val="both"/>
        <w:rPr>
          <w:rFonts w:ascii="Palatino Linotype" w:eastAsia="Calibri" w:hAnsi="Palatino Linotype" w:cs="Times New Roman"/>
          <w:i/>
          <w:sz w:val="24"/>
          <w:szCs w:val="24"/>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BB4414">
        <w:rPr>
          <w:rFonts w:ascii="Palatino Linotype" w:eastAsia="Calibri" w:hAnsi="Palatino Linotype" w:cs="Times New Roman"/>
          <w:sz w:val="24"/>
          <w:szCs w:val="24"/>
        </w:rPr>
        <w:t xml:space="preserve"> </w:t>
      </w:r>
      <w:r w:rsidR="002A1018">
        <w:rPr>
          <w:rFonts w:ascii="Palatino Linotype" w:eastAsia="Calibri" w:hAnsi="Palatino Linotype" w:cs="Times New Roman"/>
          <w:sz w:val="24"/>
          <w:szCs w:val="24"/>
        </w:rPr>
        <w:t xml:space="preserve">el </w:t>
      </w:r>
      <w:r w:rsidR="002A1018">
        <w:rPr>
          <w:rFonts w:ascii="Palatino Linotype" w:eastAsia="Calibri" w:hAnsi="Palatino Linotype" w:cs="Times New Roman"/>
          <w:b/>
          <w:sz w:val="24"/>
          <w:szCs w:val="24"/>
        </w:rPr>
        <w:t xml:space="preserve">Colegio de Estudios Científicos y Tecnológicos del Estado de México, </w:t>
      </w:r>
      <w:r w:rsidR="002A1018">
        <w:rPr>
          <w:rFonts w:ascii="Palatino Linotype" w:eastAsia="Calibri" w:hAnsi="Palatino Linotype" w:cs="Times New Roman"/>
          <w:sz w:val="24"/>
          <w:szCs w:val="24"/>
        </w:rPr>
        <w:t xml:space="preserve">en la cual requirió lo siguiente: </w:t>
      </w:r>
    </w:p>
    <w:p w:rsidR="00234AF5" w:rsidRPr="00234AF5" w:rsidRDefault="002A1018" w:rsidP="00E02A35">
      <w:pPr>
        <w:pStyle w:val="Sinespaciado"/>
        <w:tabs>
          <w:tab w:val="left" w:pos="7938"/>
        </w:tabs>
        <w:spacing w:before="240" w:after="240" w:line="360" w:lineRule="auto"/>
        <w:ind w:left="567" w:right="900"/>
        <w:jc w:val="both"/>
        <w:rPr>
          <w:rFonts w:ascii="Palatino Linotype" w:eastAsia="Calibri" w:hAnsi="Palatino Linotype" w:cs="Times New Roman"/>
          <w:i/>
          <w:sz w:val="24"/>
          <w:szCs w:val="24"/>
        </w:rPr>
      </w:pPr>
      <w:r w:rsidRPr="002A1018">
        <w:rPr>
          <w:rFonts w:ascii="Palatino Linotype" w:hAnsi="Palatino Linotype" w:cs="Arial"/>
          <w:i/>
        </w:rPr>
        <w:t xml:space="preserve">“Solicitó información acerca de las quejas denuncias procedimientos administrativos y sanciones interpuestas en contra de Carol Rosa Martínez directora del cecytem </w:t>
      </w:r>
      <w:r w:rsidRPr="002A1018">
        <w:rPr>
          <w:rFonts w:ascii="Palatino Linotype" w:hAnsi="Palatino Linotype" w:cs="Arial"/>
          <w:i/>
        </w:rPr>
        <w:lastRenderedPageBreak/>
        <w:t>plantel Nicolás Romero 2 en caso de no existir registro alguno justificar y motivar la respuesta.” (Sic).</w:t>
      </w:r>
    </w:p>
    <w:p w:rsidR="00E6179D" w:rsidRPr="002A1018" w:rsidRDefault="00E6179D" w:rsidP="00E02A35">
      <w:pPr>
        <w:pStyle w:val="Sinespaciado"/>
        <w:numPr>
          <w:ilvl w:val="0"/>
          <w:numId w:val="1"/>
        </w:numPr>
        <w:spacing w:before="240" w:after="240" w:line="360" w:lineRule="auto"/>
        <w:ind w:left="0" w:right="51" w:firstLine="0"/>
        <w:jc w:val="both"/>
        <w:rPr>
          <w:rFonts w:ascii="Palatino Linotype" w:eastAsia="Calibri" w:hAnsi="Palatino Linotype" w:cs="Arial"/>
          <w:sz w:val="24"/>
          <w:szCs w:val="24"/>
        </w:rPr>
      </w:pPr>
      <w:r w:rsidRPr="002A1018">
        <w:rPr>
          <w:rFonts w:ascii="Palatino Linotype" w:eastAsia="Calibri" w:hAnsi="Palatino Linotype" w:cs="Arial"/>
          <w:sz w:val="24"/>
          <w:szCs w:val="24"/>
        </w:rPr>
        <w:t xml:space="preserve">Bajo esas consideraciones la Ponencia </w:t>
      </w:r>
      <w:r w:rsidR="00FD1FAD" w:rsidRPr="002A1018">
        <w:rPr>
          <w:rFonts w:ascii="Palatino Linotype" w:eastAsia="Calibri" w:hAnsi="Palatino Linotype" w:cs="Arial"/>
          <w:sz w:val="24"/>
          <w:szCs w:val="24"/>
        </w:rPr>
        <w:t>que resuelve el recurso de revisión</w:t>
      </w:r>
      <w:r w:rsidRPr="002A1018">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A1018">
        <w:rPr>
          <w:rFonts w:ascii="Palatino Linotype" w:eastAsia="Calibri" w:hAnsi="Palatino Linotype" w:cs="Arial"/>
          <w:sz w:val="24"/>
          <w:szCs w:val="24"/>
        </w:rPr>
        <w:t>verificar si existe fu</w:t>
      </w:r>
      <w:r w:rsidR="003E0648" w:rsidRPr="002A1018">
        <w:rPr>
          <w:rFonts w:ascii="Palatino Linotype" w:eastAsia="Calibri" w:hAnsi="Palatino Linotype" w:cs="Arial"/>
          <w:sz w:val="24"/>
          <w:szCs w:val="24"/>
        </w:rPr>
        <w:t>ente obligacional por pa</w:t>
      </w:r>
      <w:r w:rsidR="002A1018" w:rsidRPr="002A1018">
        <w:rPr>
          <w:rFonts w:ascii="Palatino Linotype" w:eastAsia="Calibri" w:hAnsi="Palatino Linotype" w:cs="Arial"/>
          <w:sz w:val="24"/>
          <w:szCs w:val="24"/>
        </w:rPr>
        <w:t xml:space="preserve">rte del </w:t>
      </w:r>
      <w:r w:rsidR="002A1018" w:rsidRPr="002A1018">
        <w:rPr>
          <w:rFonts w:ascii="Palatino Linotype" w:eastAsia="Calibri" w:hAnsi="Palatino Linotype" w:cs="Arial"/>
          <w:b/>
          <w:sz w:val="24"/>
          <w:szCs w:val="24"/>
        </w:rPr>
        <w:t>Colegio de Estudios Científicos y Tecnológicos del Estado de México</w:t>
      </w:r>
      <w:r w:rsidR="00140213" w:rsidRPr="002A1018">
        <w:rPr>
          <w:rFonts w:ascii="Palatino Linotype" w:hAnsi="Palatino Linotype"/>
          <w:b/>
          <w:sz w:val="24"/>
          <w:szCs w:val="24"/>
        </w:rPr>
        <w:t xml:space="preserve">, </w:t>
      </w:r>
      <w:r w:rsidR="002A1018" w:rsidRPr="002A1018">
        <w:rPr>
          <w:rFonts w:ascii="Palatino Linotype" w:eastAsia="Calibri" w:hAnsi="Palatino Linotype" w:cs="Arial"/>
          <w:sz w:val="24"/>
          <w:szCs w:val="24"/>
        </w:rPr>
        <w:t xml:space="preserve">y así ordenar que se realice entrega de la información solicitada. </w:t>
      </w:r>
    </w:p>
    <w:p w:rsidR="00C37E62" w:rsidRPr="00C37E62" w:rsidRDefault="00E6179D" w:rsidP="00E02A35">
      <w:pPr>
        <w:numPr>
          <w:ilvl w:val="0"/>
          <w:numId w:val="1"/>
        </w:numPr>
        <w:spacing w:after="0" w:line="360" w:lineRule="auto"/>
        <w:ind w:left="0" w:firstLine="0"/>
        <w:contextualSpacing/>
        <w:jc w:val="both"/>
        <w:rPr>
          <w:rFonts w:ascii="Palatino Linotype" w:eastAsia="Calibri" w:hAnsi="Palatino Linotype" w:cs="Arial"/>
          <w:i/>
          <w:sz w:val="24"/>
          <w:szCs w:val="24"/>
        </w:rPr>
      </w:pPr>
      <w:r w:rsidRPr="00140213">
        <w:rPr>
          <w:rFonts w:ascii="Palatino Linotype" w:eastAsia="Calibri" w:hAnsi="Palatino Linotype" w:cs="Arial"/>
          <w:sz w:val="24"/>
          <w:szCs w:val="24"/>
        </w:rPr>
        <w:t xml:space="preserve">Por lo que respecta al análisis que realizó el ponente para poder </w:t>
      </w:r>
      <w:r w:rsidR="002A1018">
        <w:rPr>
          <w:rFonts w:ascii="Palatino Linotype" w:eastAsia="Calibri" w:hAnsi="Palatino Linotype" w:cs="Arial"/>
          <w:sz w:val="24"/>
          <w:szCs w:val="24"/>
        </w:rPr>
        <w:t xml:space="preserve">Revocar </w:t>
      </w:r>
      <w:r w:rsidRPr="00140213">
        <w:rPr>
          <w:rFonts w:ascii="Palatino Linotype" w:eastAsia="Calibri" w:hAnsi="Palatino Linotype" w:cs="Arial"/>
          <w:sz w:val="24"/>
          <w:szCs w:val="24"/>
        </w:rPr>
        <w:t xml:space="preserve">el presente asunto </w:t>
      </w:r>
      <w:r w:rsidR="00427B79" w:rsidRPr="00140213">
        <w:rPr>
          <w:rFonts w:ascii="Palatino Linotype" w:hAnsi="Palatino Linotype" w:cs="Arial"/>
          <w:sz w:val="24"/>
          <w:szCs w:val="24"/>
        </w:rPr>
        <w:t xml:space="preserve">se observó que el </w:t>
      </w:r>
      <w:r w:rsidR="00427B79" w:rsidRPr="00140213">
        <w:rPr>
          <w:rFonts w:ascii="Palatino Linotype" w:hAnsi="Palatino Linotype" w:cs="Arial"/>
          <w:b/>
          <w:sz w:val="24"/>
          <w:szCs w:val="24"/>
        </w:rPr>
        <w:t>SUJETO OBLIGADO</w:t>
      </w:r>
      <w:r w:rsidR="00DB39B5" w:rsidRPr="00140213">
        <w:rPr>
          <w:rFonts w:ascii="Palatino Linotype" w:hAnsi="Palatino Linotype" w:cs="Arial"/>
          <w:b/>
          <w:sz w:val="24"/>
          <w:szCs w:val="24"/>
        </w:rPr>
        <w:t xml:space="preserve"> </w:t>
      </w:r>
      <w:r w:rsidR="00DB39B5" w:rsidRPr="00140213">
        <w:rPr>
          <w:rFonts w:ascii="Palatino Linotype" w:hAnsi="Palatino Linotype" w:cs="Arial"/>
          <w:sz w:val="24"/>
          <w:szCs w:val="24"/>
        </w:rPr>
        <w:t>no colmó la solicitud de información por parte del solicitante, por lo que se</w:t>
      </w:r>
      <w:r w:rsidR="00C37E62">
        <w:rPr>
          <w:rFonts w:ascii="Palatino Linotype" w:hAnsi="Palatino Linotype" w:cs="Arial"/>
          <w:sz w:val="24"/>
          <w:szCs w:val="24"/>
        </w:rPr>
        <w:t xml:space="preserve"> ordenó la entrega de la siguiente información:  </w:t>
      </w:r>
      <w:r w:rsidR="00DB39B5" w:rsidRPr="00140213">
        <w:rPr>
          <w:rFonts w:ascii="Palatino Linotype" w:hAnsi="Palatino Linotype" w:cs="Arial"/>
          <w:b/>
          <w:sz w:val="24"/>
          <w:szCs w:val="24"/>
        </w:rPr>
        <w:t xml:space="preserve"> </w:t>
      </w:r>
    </w:p>
    <w:p w:rsidR="00C37E62" w:rsidRPr="00C37E62" w:rsidRDefault="00C37E62" w:rsidP="00E02A35">
      <w:pPr>
        <w:spacing w:before="100" w:beforeAutospacing="1" w:after="100" w:afterAutospacing="1" w:line="360" w:lineRule="auto"/>
        <w:ind w:left="567" w:right="618"/>
        <w:jc w:val="both"/>
        <w:rPr>
          <w:rFonts w:ascii="Palatino Linotype" w:eastAsia="Arial Unicode MS" w:hAnsi="Palatino Linotype" w:cs="Arial"/>
          <w:i/>
          <w:lang w:eastAsia="es-ES"/>
        </w:rPr>
      </w:pPr>
      <w:r w:rsidRPr="00C37E62">
        <w:rPr>
          <w:rFonts w:ascii="Palatino Linotype" w:eastAsia="Arial Unicode MS" w:hAnsi="Palatino Linotype" w:cs="Arial"/>
          <w:i/>
          <w:lang w:eastAsia="es-ES"/>
        </w:rPr>
        <w:t xml:space="preserve">“a) El expediente de las quejas y denuncias que hubieran causado estado, iniciados en contra de la servidora pública referida en la solicitud de información, del 21 de enero de 2018 al 21 de enero de 2019, en </w:t>
      </w:r>
      <w:r w:rsidRPr="00C37E62">
        <w:rPr>
          <w:rFonts w:ascii="Palatino Linotype" w:eastAsia="Arial Unicode MS" w:hAnsi="Palatino Linotype" w:cs="Arial"/>
          <w:b/>
          <w:i/>
          <w:lang w:eastAsia="es-ES"/>
        </w:rPr>
        <w:t>versión pública</w:t>
      </w:r>
      <w:r w:rsidRPr="00C37E62">
        <w:rPr>
          <w:rFonts w:ascii="Palatino Linotype" w:eastAsia="Arial Unicode MS" w:hAnsi="Palatino Linotype" w:cs="Arial"/>
          <w:i/>
          <w:lang w:eastAsia="es-ES"/>
        </w:rPr>
        <w:t>.</w:t>
      </w:r>
    </w:p>
    <w:p w:rsidR="00C37E62" w:rsidRPr="00C37E62" w:rsidRDefault="00C37E62" w:rsidP="00E02A35">
      <w:pPr>
        <w:spacing w:before="100" w:beforeAutospacing="1" w:after="100" w:afterAutospacing="1" w:line="360" w:lineRule="auto"/>
        <w:ind w:left="567" w:right="618"/>
        <w:jc w:val="both"/>
        <w:rPr>
          <w:rFonts w:ascii="Palatino Linotype" w:eastAsia="Times New Roman" w:hAnsi="Palatino Linotype" w:cs="Times New Roman"/>
          <w:i/>
          <w:lang w:eastAsia="es-ES"/>
        </w:rPr>
      </w:pPr>
      <w:r w:rsidRPr="00C37E62">
        <w:rPr>
          <w:rFonts w:ascii="Palatino Linotype" w:eastAsia="Times New Roman" w:hAnsi="Palatino Linotype" w:cs="Times New Roman"/>
          <w:i/>
          <w:lang w:eastAsia="es-ES"/>
        </w:rPr>
        <w:t xml:space="preserve">Debiendo </w:t>
      </w:r>
      <w:r w:rsidRPr="00C37E62">
        <w:rPr>
          <w:rFonts w:ascii="Palatino Linotype" w:eastAsia="Arial Unicode MS" w:hAnsi="Palatino Linotype" w:cs="Arial"/>
          <w:i/>
          <w:lang w:eastAsia="es-ES"/>
        </w:rPr>
        <w:t>notificar</w:t>
      </w:r>
      <w:r w:rsidRPr="00C37E62">
        <w:rPr>
          <w:rFonts w:ascii="Palatino Linotype" w:eastAsia="Times New Roman" w:hAnsi="Palatino Linotype" w:cs="Times New Roman"/>
          <w:i/>
          <w:lang w:eastAsia="es-ES"/>
        </w:rPr>
        <w:t xml:space="preserve"> al </w:t>
      </w:r>
      <w:r w:rsidRPr="00C37E62">
        <w:rPr>
          <w:rFonts w:ascii="Palatino Linotype" w:eastAsia="Times New Roman" w:hAnsi="Palatino Linotype" w:cs="Times New Roman"/>
          <w:b/>
          <w:i/>
          <w:lang w:eastAsia="es-ES"/>
        </w:rPr>
        <w:t>RECURRENTE</w:t>
      </w:r>
      <w:r w:rsidRPr="00C37E62">
        <w:rPr>
          <w:rFonts w:ascii="Palatino Linotype" w:eastAsia="Times New Roman" w:hAnsi="Palatino Linotype" w:cs="Times New Roman"/>
          <w:i/>
          <w:lang w:eastAsia="es-ES"/>
        </w:rPr>
        <w:t xml:space="preserve"> el Acuerdo de Clasificación de la información que emita su Comité de Transparencia con motivo de la versión pública.</w:t>
      </w:r>
    </w:p>
    <w:p w:rsidR="00C37E62" w:rsidRPr="00C37E62" w:rsidRDefault="00C37E62" w:rsidP="00E02A35">
      <w:pPr>
        <w:spacing w:before="100" w:beforeAutospacing="1" w:after="100" w:afterAutospacing="1" w:line="360" w:lineRule="auto"/>
        <w:ind w:left="567" w:right="618"/>
        <w:jc w:val="both"/>
        <w:rPr>
          <w:rFonts w:ascii="Palatino Linotype" w:eastAsia="Arial Unicode MS" w:hAnsi="Palatino Linotype" w:cs="Arial"/>
          <w:i/>
          <w:lang w:eastAsia="es-ES"/>
        </w:rPr>
      </w:pPr>
      <w:r w:rsidRPr="00C37E62">
        <w:rPr>
          <w:rFonts w:ascii="Palatino Linotype" w:eastAsia="Times New Roman" w:hAnsi="Palatino Linotype" w:cs="Times New Roman"/>
          <w:i/>
          <w:iCs/>
          <w:color w:val="222222"/>
          <w:shd w:val="clear" w:color="auto" w:fill="FFFFFF"/>
          <w:lang w:eastAsia="es-ES"/>
        </w:rPr>
        <w:t xml:space="preserve">b) El </w:t>
      </w:r>
      <w:r w:rsidRPr="00C37E62">
        <w:rPr>
          <w:rFonts w:ascii="Palatino Linotype" w:eastAsia="Arial Unicode MS" w:hAnsi="Palatino Linotype" w:cs="Arial"/>
          <w:i/>
          <w:lang w:eastAsia="es-ES"/>
        </w:rPr>
        <w:t xml:space="preserve">Acuerdo de Clasificación del Comité de Trasparencia, de conformidad con lo establecido en el artículo 140 de la Ley de la materia, en el que funde y motive la clasificación de los expedientes de quejas y denuncias instauradas en contra de la </w:t>
      </w:r>
      <w:r w:rsidRPr="00C37E62">
        <w:rPr>
          <w:rFonts w:ascii="Palatino Linotype" w:eastAsia="Arial Unicode MS" w:hAnsi="Palatino Linotype" w:cs="Arial"/>
          <w:i/>
          <w:lang w:eastAsia="es-ES"/>
        </w:rPr>
        <w:lastRenderedPageBreak/>
        <w:t xml:space="preserve">servidora pública referida en la solicitud, que se encontraban en trámite al 21 de enero de 2019, como información reservada en términos de los artículos 129 y 141 de la Ley de Transparencia y Acceso a la Información Pública del Estado de México y Municipios. </w:t>
      </w:r>
    </w:p>
    <w:p w:rsidR="00560CB9" w:rsidRDefault="00C37E62" w:rsidP="00E02A35">
      <w:pPr>
        <w:spacing w:before="100" w:beforeAutospacing="1" w:after="100" w:afterAutospacing="1" w:line="360" w:lineRule="auto"/>
        <w:ind w:left="567" w:right="618"/>
        <w:jc w:val="both"/>
        <w:rPr>
          <w:rFonts w:ascii="Palatino Linotype" w:eastAsia="Times New Roman" w:hAnsi="Palatino Linotype" w:cs="Times New Roman"/>
          <w:i/>
          <w:iCs/>
          <w:color w:val="222222"/>
          <w:shd w:val="clear" w:color="auto" w:fill="FFFFFF"/>
          <w:lang w:eastAsia="es-ES"/>
        </w:rPr>
      </w:pPr>
      <w:r w:rsidRPr="00C37E62">
        <w:rPr>
          <w:rFonts w:ascii="Palatino Linotype" w:eastAsia="Times New Roman" w:hAnsi="Palatino Linotype" w:cs="Times New Roman"/>
          <w:i/>
          <w:iCs/>
          <w:color w:val="222222"/>
          <w:shd w:val="clear" w:color="auto" w:fill="FFFFFF"/>
          <w:lang w:eastAsia="es-ES"/>
        </w:rPr>
        <w:t>c) El documento o documentos que dé cuenta de las sanciones administrativas graves impuestas a la servidora pública referida en la solicitud de información, por el periodo del 21 de enero de 2018 al 21 de enero de 2019</w:t>
      </w:r>
      <w:r>
        <w:rPr>
          <w:rFonts w:ascii="Palatino Linotype" w:eastAsia="Times New Roman" w:hAnsi="Palatino Linotype" w:cs="Times New Roman"/>
          <w:i/>
          <w:iCs/>
          <w:color w:val="222222"/>
          <w:shd w:val="clear" w:color="auto" w:fill="FFFFFF"/>
          <w:lang w:eastAsia="es-ES"/>
        </w:rPr>
        <w:t>…</w:t>
      </w:r>
      <w:r w:rsidRPr="00C37E62">
        <w:rPr>
          <w:rFonts w:ascii="Palatino Linotype" w:eastAsia="Times New Roman" w:hAnsi="Palatino Linotype" w:cs="Times New Roman"/>
          <w:i/>
          <w:iCs/>
          <w:color w:val="222222"/>
          <w:shd w:val="clear" w:color="auto" w:fill="FFFFFF"/>
          <w:lang w:eastAsia="es-ES"/>
        </w:rPr>
        <w:t xml:space="preserve"> </w:t>
      </w:r>
    </w:p>
    <w:p w:rsidR="0054505C" w:rsidRPr="0054505C" w:rsidRDefault="00560CB9" w:rsidP="00E02A35">
      <w:pPr>
        <w:spacing w:before="100" w:beforeAutospacing="1" w:after="100" w:afterAutospacing="1" w:line="360" w:lineRule="auto"/>
        <w:ind w:left="567" w:right="618"/>
        <w:jc w:val="both"/>
        <w:rPr>
          <w:rFonts w:ascii="Palatino Linotype" w:eastAsia="Arial Unicode MS" w:hAnsi="Palatino Linotype" w:cs="Arial"/>
          <w:i/>
          <w:lang w:eastAsia="es-ES"/>
        </w:rPr>
      </w:pPr>
      <w:r w:rsidRPr="00560CB9">
        <w:rPr>
          <w:rFonts w:ascii="Palatino Linotype" w:eastAsia="Times New Roman" w:hAnsi="Palatino Linotype" w:cs="Times New Roman"/>
          <w:i/>
          <w:iCs/>
          <w:color w:val="222222"/>
          <w:shd w:val="clear" w:color="auto" w:fill="FFFFFF"/>
          <w:lang w:eastAsia="es-ES"/>
        </w:rPr>
        <w:t xml:space="preserve">Para el caso de que las quejas y denuncias no encuadren en alguno de los supuestos señalados en los incisos a) o b), y/o no se hayan interpuesto sanciones administrativas graves en contra de la multicitada servidora pública y por ende no cuente con la información, bastará con hacerlo del conocimiento del </w:t>
      </w:r>
      <w:r w:rsidRPr="00560CB9">
        <w:rPr>
          <w:rFonts w:ascii="Palatino Linotype" w:eastAsia="Times New Roman" w:hAnsi="Palatino Linotype" w:cs="Times New Roman"/>
          <w:b/>
          <w:i/>
          <w:iCs/>
          <w:color w:val="222222"/>
          <w:shd w:val="clear" w:color="auto" w:fill="FFFFFF"/>
          <w:lang w:eastAsia="es-ES"/>
        </w:rPr>
        <w:t>RECURRENTE.</w:t>
      </w:r>
      <w:r w:rsidRPr="00560CB9">
        <w:rPr>
          <w:rFonts w:ascii="Palatino Linotype" w:eastAsia="Times New Roman" w:hAnsi="Palatino Linotype" w:cs="Times New Roman"/>
          <w:i/>
          <w:iCs/>
          <w:color w:val="222222"/>
          <w:shd w:val="clear" w:color="auto" w:fill="FFFFFF"/>
          <w:lang w:eastAsia="es-ES"/>
        </w:rPr>
        <w:t xml:space="preserve"> </w:t>
      </w:r>
      <w:r w:rsidR="00C37E62">
        <w:rPr>
          <w:rFonts w:ascii="Palatino Linotype" w:eastAsia="Times New Roman" w:hAnsi="Palatino Linotype" w:cs="Times New Roman"/>
          <w:i/>
          <w:iCs/>
          <w:color w:val="222222"/>
          <w:shd w:val="clear" w:color="auto" w:fill="FFFFFF"/>
          <w:lang w:eastAsia="es-ES"/>
        </w:rPr>
        <w:t>“(Sic)</w:t>
      </w:r>
    </w:p>
    <w:p w:rsidR="00C9229E" w:rsidRPr="0054505C" w:rsidRDefault="00A154B2" w:rsidP="00E02A3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Así las cosas </w:t>
      </w:r>
      <w:r w:rsidR="00594E5C">
        <w:rPr>
          <w:rFonts w:ascii="Palatino Linotype" w:eastAsia="Times New Roman" w:hAnsi="Palatino Linotype" w:cs="Arial"/>
          <w:sz w:val="24"/>
        </w:rPr>
        <w:t>esta ponencia observó</w:t>
      </w:r>
      <w:r w:rsidR="00203A60">
        <w:rPr>
          <w:rFonts w:ascii="Palatino Linotype" w:eastAsia="Times New Roman" w:hAnsi="Palatino Linotype" w:cs="Arial"/>
          <w:sz w:val="24"/>
        </w:rPr>
        <w:t xml:space="preserve">, </w:t>
      </w:r>
      <w:r w:rsidR="0054505C">
        <w:rPr>
          <w:rFonts w:ascii="Palatino Linotype" w:eastAsia="Times New Roman" w:hAnsi="Palatino Linotype" w:cs="Arial"/>
          <w:sz w:val="24"/>
        </w:rPr>
        <w:t>por una parte</w:t>
      </w:r>
      <w:r w:rsidR="00203A60">
        <w:rPr>
          <w:rFonts w:ascii="Palatino Linotype" w:eastAsia="Times New Roman" w:hAnsi="Palatino Linotype" w:cs="Arial"/>
          <w:sz w:val="24"/>
        </w:rPr>
        <w:t xml:space="preserve">, </w:t>
      </w:r>
      <w:r w:rsidR="00594E5C">
        <w:rPr>
          <w:rFonts w:ascii="Palatino Linotype" w:eastAsia="Times New Roman" w:hAnsi="Palatino Linotype" w:cs="Arial"/>
          <w:sz w:val="24"/>
        </w:rPr>
        <w:t>que la resolución puntualmente indica lo siguiente</w:t>
      </w:r>
      <w:r w:rsidR="00C602B8">
        <w:rPr>
          <w:rFonts w:ascii="Palatino Linotype" w:eastAsia="Times New Roman" w:hAnsi="Palatino Linotype" w:cs="Arial"/>
          <w:sz w:val="24"/>
        </w:rPr>
        <w:t xml:space="preserve"> respecto </w:t>
      </w:r>
      <w:r w:rsidR="00D152FB">
        <w:rPr>
          <w:rFonts w:ascii="Palatino Linotype" w:eastAsia="Times New Roman" w:hAnsi="Palatino Linotype" w:cs="Arial"/>
          <w:sz w:val="24"/>
        </w:rPr>
        <w:t>al</w:t>
      </w:r>
      <w:r w:rsidR="001E5635">
        <w:rPr>
          <w:rFonts w:ascii="Palatino Linotype" w:eastAsia="Times New Roman" w:hAnsi="Palatino Linotype" w:cs="Arial"/>
          <w:sz w:val="24"/>
        </w:rPr>
        <w:t xml:space="preserve"> </w:t>
      </w:r>
      <w:r w:rsidR="00D152FB">
        <w:rPr>
          <w:rFonts w:ascii="Palatino Linotype" w:eastAsia="Times New Roman" w:hAnsi="Palatino Linotype" w:cs="Arial"/>
          <w:sz w:val="24"/>
        </w:rPr>
        <w:t>numeral</w:t>
      </w:r>
      <w:r w:rsidR="00F1403B">
        <w:rPr>
          <w:rFonts w:ascii="Palatino Linotype" w:eastAsia="Times New Roman" w:hAnsi="Palatino Linotype" w:cs="Arial"/>
          <w:sz w:val="24"/>
        </w:rPr>
        <w:t xml:space="preserve"> </w:t>
      </w:r>
      <w:r w:rsidR="00C37E62">
        <w:rPr>
          <w:rFonts w:ascii="Palatino Linotype" w:eastAsia="Times New Roman" w:hAnsi="Palatino Linotype" w:cs="Arial"/>
          <w:sz w:val="24"/>
        </w:rPr>
        <w:t>a o b</w:t>
      </w:r>
      <w:r w:rsidR="001E5635" w:rsidRPr="001E5635">
        <w:rPr>
          <w:rFonts w:ascii="Palatino Linotype" w:eastAsia="Times New Roman" w:hAnsi="Palatino Linotype" w:cs="Arial"/>
          <w:sz w:val="24"/>
        </w:rPr>
        <w:t xml:space="preserve"> </w:t>
      </w:r>
      <w:r w:rsidR="007E48FF">
        <w:rPr>
          <w:rFonts w:ascii="Palatino Linotype" w:eastAsia="Times New Roman" w:hAnsi="Palatino Linotype" w:cs="Arial"/>
          <w:sz w:val="24"/>
        </w:rPr>
        <w:t>:</w:t>
      </w:r>
    </w:p>
    <w:p w:rsidR="0054505C" w:rsidRPr="0054505C" w:rsidRDefault="00C37E62" w:rsidP="00E02A35">
      <w:pPr>
        <w:spacing w:before="100" w:beforeAutospacing="1" w:after="100" w:afterAutospacing="1" w:line="360" w:lineRule="auto"/>
        <w:ind w:left="567" w:right="618"/>
        <w:jc w:val="both"/>
        <w:rPr>
          <w:rFonts w:ascii="Palatino Linotype" w:eastAsia="Times New Roman" w:hAnsi="Palatino Linotype" w:cs="Times New Roman"/>
          <w:i/>
          <w:iCs/>
          <w:color w:val="222222"/>
          <w:shd w:val="clear" w:color="auto" w:fill="FFFFFF"/>
          <w:lang w:eastAsia="es-ES"/>
        </w:rPr>
      </w:pPr>
      <w:r>
        <w:rPr>
          <w:rFonts w:ascii="Palatino Linotype" w:eastAsia="Times New Roman" w:hAnsi="Palatino Linotype" w:cs="Times New Roman"/>
          <w:i/>
          <w:iCs/>
          <w:color w:val="222222"/>
          <w:shd w:val="clear" w:color="auto" w:fill="FFFFFF"/>
          <w:lang w:eastAsia="es-ES"/>
        </w:rPr>
        <w:t>“</w:t>
      </w:r>
      <w:r w:rsidRPr="00C37E62">
        <w:rPr>
          <w:rFonts w:ascii="Palatino Linotype" w:eastAsia="Times New Roman" w:hAnsi="Palatino Linotype" w:cs="Times New Roman"/>
          <w:i/>
          <w:iCs/>
          <w:color w:val="222222"/>
          <w:shd w:val="clear" w:color="auto" w:fill="FFFFFF"/>
          <w:lang w:eastAsia="es-ES"/>
        </w:rPr>
        <w:t xml:space="preserve">Para el caso de que las quejas y denuncias no encuadren en alguno de los supuestos señalados en los incisos a) o b), y/o no se hayan interpuesto sanciones administrativas graves en contra de la multicitada servidora pública y por ende no cuente con la información, bastará con hacerlo del conocimiento del </w:t>
      </w:r>
      <w:r w:rsidRPr="00C37E62">
        <w:rPr>
          <w:rFonts w:ascii="Palatino Linotype" w:eastAsia="Times New Roman" w:hAnsi="Palatino Linotype" w:cs="Times New Roman"/>
          <w:b/>
          <w:i/>
          <w:iCs/>
          <w:color w:val="222222"/>
          <w:shd w:val="clear" w:color="auto" w:fill="FFFFFF"/>
          <w:lang w:eastAsia="es-ES"/>
        </w:rPr>
        <w:t>RECURRENTE.</w:t>
      </w:r>
      <w:r w:rsidRPr="00C37E62">
        <w:rPr>
          <w:rFonts w:ascii="Palatino Linotype" w:eastAsia="Times New Roman" w:hAnsi="Palatino Linotype" w:cs="Times New Roman"/>
          <w:i/>
          <w:iCs/>
          <w:color w:val="222222"/>
          <w:shd w:val="clear" w:color="auto" w:fill="FFFFFF"/>
          <w:lang w:eastAsia="es-ES"/>
        </w:rPr>
        <w:t xml:space="preserve"> </w:t>
      </w:r>
      <w:r>
        <w:rPr>
          <w:rFonts w:ascii="Palatino Linotype" w:eastAsia="Times New Roman" w:hAnsi="Palatino Linotype" w:cs="Times New Roman"/>
          <w:i/>
          <w:iCs/>
          <w:color w:val="222222"/>
          <w:shd w:val="clear" w:color="auto" w:fill="FFFFFF"/>
          <w:lang w:eastAsia="es-ES"/>
        </w:rPr>
        <w:t>“(Sic)</w:t>
      </w:r>
    </w:p>
    <w:p w:rsidR="0054505C" w:rsidRPr="00203A60" w:rsidRDefault="0054505C" w:rsidP="00E02A3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En ese sentido, si bien el ponente </w:t>
      </w:r>
      <w:r w:rsidRPr="0054505C">
        <w:rPr>
          <w:rFonts w:ascii="Palatino Linotype" w:eastAsia="Times New Roman" w:hAnsi="Palatino Linotype" w:cs="Arial"/>
          <w:sz w:val="24"/>
        </w:rPr>
        <w:t xml:space="preserve">se manifestó enfatizando que en el caso de que el </w:t>
      </w:r>
      <w:r w:rsidRPr="0054505C">
        <w:rPr>
          <w:rFonts w:ascii="Palatino Linotype" w:eastAsia="Times New Roman" w:hAnsi="Palatino Linotype" w:cs="Arial"/>
          <w:b/>
          <w:sz w:val="24"/>
        </w:rPr>
        <w:t>SUJETO OBLIGADO</w:t>
      </w:r>
      <w:r w:rsidRPr="0054505C">
        <w:rPr>
          <w:rFonts w:ascii="Palatino Linotype" w:eastAsia="Times New Roman" w:hAnsi="Palatino Linotype" w:cs="Arial"/>
          <w:sz w:val="24"/>
        </w:rPr>
        <w:t xml:space="preserve"> no cuente con la información, bastará con que se pronuncie al respecto y lo haga </w:t>
      </w:r>
      <w:r>
        <w:rPr>
          <w:rFonts w:ascii="Palatino Linotype" w:eastAsia="Times New Roman" w:hAnsi="Palatino Linotype" w:cs="Arial"/>
          <w:sz w:val="24"/>
        </w:rPr>
        <w:t xml:space="preserve">del conocimiento del particular, lo cierto es que </w:t>
      </w:r>
      <w:r w:rsidRPr="00C37E62">
        <w:rPr>
          <w:rFonts w:ascii="Palatino Linotype" w:eastAsia="Calibri" w:hAnsi="Palatino Linotype" w:cs="Arial"/>
          <w:sz w:val="24"/>
          <w:szCs w:val="24"/>
        </w:rPr>
        <w:t xml:space="preserve">el </w:t>
      </w:r>
      <w:r w:rsidRPr="00C37E62">
        <w:rPr>
          <w:rFonts w:ascii="Palatino Linotype" w:eastAsia="Calibri" w:hAnsi="Palatino Linotype" w:cs="Arial"/>
          <w:b/>
          <w:sz w:val="24"/>
          <w:szCs w:val="24"/>
        </w:rPr>
        <w:t>SUJETO OBLIGADO</w:t>
      </w:r>
      <w:r w:rsidRPr="00C37E62">
        <w:rPr>
          <w:rFonts w:ascii="Palatino Linotype" w:eastAsia="Calibri" w:hAnsi="Palatino Linotype" w:cs="Arial"/>
          <w:sz w:val="24"/>
          <w:szCs w:val="24"/>
        </w:rPr>
        <w:t xml:space="preserve"> en cuestión debe de demostrar que no genera, posee o </w:t>
      </w:r>
      <w:r w:rsidRPr="00C37E62">
        <w:rPr>
          <w:rFonts w:ascii="Palatino Linotype" w:eastAsia="Calibri" w:hAnsi="Palatino Linotype" w:cs="Arial"/>
          <w:sz w:val="24"/>
          <w:szCs w:val="24"/>
        </w:rPr>
        <w:lastRenderedPageBreak/>
        <w:t>administra la información que requiere el particular, debiendo motivar su respuesta en función de las causas que hayan generado tales circun</w:t>
      </w:r>
      <w:r>
        <w:rPr>
          <w:rFonts w:ascii="Palatino Linotype" w:eastAsia="Calibri" w:hAnsi="Palatino Linotype" w:cs="Arial"/>
          <w:sz w:val="24"/>
          <w:szCs w:val="24"/>
        </w:rPr>
        <w:t>stancias.</w:t>
      </w:r>
    </w:p>
    <w:p w:rsidR="00203A60" w:rsidRPr="0054505C" w:rsidRDefault="00203A60" w:rsidP="00E02A35">
      <w:pPr>
        <w:pStyle w:val="Prrafodelista"/>
        <w:spacing w:before="240" w:after="240" w:line="360" w:lineRule="auto"/>
        <w:ind w:left="0" w:right="49"/>
        <w:jc w:val="both"/>
        <w:rPr>
          <w:rFonts w:ascii="Palatino Linotype" w:eastAsia="Times New Roman" w:hAnsi="Palatino Linotype" w:cs="Arial"/>
          <w:i/>
          <w:sz w:val="24"/>
        </w:rPr>
      </w:pPr>
    </w:p>
    <w:p w:rsidR="00680533" w:rsidRDefault="0054505C" w:rsidP="00E02A3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Pr>
          <w:rFonts w:ascii="Palatino Linotype" w:eastAsia="Times New Roman" w:hAnsi="Palatino Linotype" w:cs="Arial"/>
          <w:sz w:val="24"/>
        </w:rPr>
        <w:t xml:space="preserve">Asimismo </w:t>
      </w:r>
      <w:r w:rsidRPr="0054505C">
        <w:rPr>
          <w:rFonts w:ascii="Palatino Linotype" w:eastAsia="Times New Roman" w:hAnsi="Palatino Linotype" w:cs="Arial"/>
          <w:sz w:val="24"/>
        </w:rPr>
        <w:t>esta ponencia observo que en el inciso b se especificó que</w:t>
      </w:r>
      <w:r w:rsidR="00234AF5">
        <w:rPr>
          <w:rFonts w:ascii="Palatino Linotype" w:eastAsia="Times New Roman" w:hAnsi="Palatino Linotype" w:cs="Arial"/>
          <w:sz w:val="24"/>
        </w:rPr>
        <w:t xml:space="preserve"> para el caso de que, parte de la información solicitada encuadre con alguna causal del artículo 140 de la Ley de Transparencia Estatal deberá elaborar un Acuerdo de Clasificación que apruebe el Comité de Transparencia, en el que funde y motive la clasificación de dicha información como reservada en términos de los artículos 129 y 141 de la citada Ley de Trasparencia, debiendo notificarlo al recurrente al momento de dar cumplimiento a la presente resolución. </w:t>
      </w:r>
    </w:p>
    <w:p w:rsidR="00234AF5" w:rsidRDefault="00234AF5" w:rsidP="00E02A35">
      <w:pPr>
        <w:pStyle w:val="Prrafodelista"/>
        <w:spacing w:before="240" w:after="240" w:line="360" w:lineRule="auto"/>
        <w:ind w:left="0" w:right="49"/>
        <w:jc w:val="both"/>
        <w:rPr>
          <w:rFonts w:ascii="Palatino Linotype" w:eastAsia="Times New Roman" w:hAnsi="Palatino Linotype" w:cs="Arial"/>
          <w:sz w:val="24"/>
        </w:rPr>
      </w:pPr>
    </w:p>
    <w:p w:rsidR="00CB3A8E" w:rsidRDefault="00234AF5" w:rsidP="00E02A3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Pr>
          <w:rFonts w:ascii="Palatino Linotype" w:eastAsia="Times New Roman" w:hAnsi="Palatino Linotype" w:cs="Arial"/>
          <w:sz w:val="24"/>
        </w:rPr>
        <w:t>Así</w:t>
      </w:r>
      <w:r w:rsidR="00A154B2">
        <w:rPr>
          <w:rFonts w:ascii="Palatino Linotype" w:eastAsia="Times New Roman" w:hAnsi="Palatino Linotype" w:cs="Arial"/>
          <w:sz w:val="24"/>
        </w:rPr>
        <w:t xml:space="preserve">, </w:t>
      </w:r>
      <w:r>
        <w:rPr>
          <w:rFonts w:ascii="Palatino Linotype" w:eastAsia="Times New Roman" w:hAnsi="Palatino Linotype" w:cs="Arial"/>
          <w:sz w:val="24"/>
        </w:rPr>
        <w:t xml:space="preserve">si bien se pretende la clasificación de la información como reservada lo cierto es que se </w:t>
      </w:r>
      <w:r w:rsidR="00203A60">
        <w:rPr>
          <w:rFonts w:ascii="Palatino Linotype" w:eastAsia="Times New Roman" w:hAnsi="Palatino Linotype" w:cs="Arial"/>
          <w:sz w:val="24"/>
        </w:rPr>
        <w:t>debió</w:t>
      </w:r>
      <w:r>
        <w:rPr>
          <w:rFonts w:ascii="Palatino Linotype" w:eastAsia="Times New Roman" w:hAnsi="Palatino Linotype" w:cs="Arial"/>
          <w:sz w:val="24"/>
        </w:rPr>
        <w:t xml:space="preserve"> de realizar un estudio exhaustivo de la información</w:t>
      </w:r>
      <w:r w:rsidR="00203A60">
        <w:rPr>
          <w:rFonts w:ascii="Palatino Linotype" w:eastAsia="Times New Roman" w:hAnsi="Palatino Linotype" w:cs="Arial"/>
          <w:sz w:val="24"/>
        </w:rPr>
        <w:t xml:space="preserve"> por parte de este Órgano Garante a efecto de verificar que se actua</w:t>
      </w:r>
      <w:r w:rsidR="00A154B2">
        <w:rPr>
          <w:rFonts w:ascii="Palatino Linotype" w:eastAsia="Times New Roman" w:hAnsi="Palatino Linotype" w:cs="Arial"/>
          <w:sz w:val="24"/>
        </w:rPr>
        <w:t xml:space="preserve">lizara alguna causal de reserva. </w:t>
      </w:r>
    </w:p>
    <w:p w:rsidR="00534972" w:rsidRPr="00534972" w:rsidRDefault="00534972" w:rsidP="00E02A35">
      <w:pPr>
        <w:pStyle w:val="Prrafodelista"/>
        <w:spacing w:before="240" w:after="240" w:line="360" w:lineRule="auto"/>
        <w:ind w:left="0" w:right="49"/>
        <w:jc w:val="both"/>
        <w:rPr>
          <w:rFonts w:ascii="Palatino Linotype" w:eastAsia="Times New Roman" w:hAnsi="Palatino Linotype" w:cs="Arial"/>
          <w:sz w:val="24"/>
        </w:rPr>
      </w:pPr>
    </w:p>
    <w:p w:rsidR="00CB3A8E" w:rsidRPr="00FB5F09" w:rsidRDefault="00CB3A8E" w:rsidP="00E02A35">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Pr>
          <w:rFonts w:ascii="Palatino Linotype" w:hAnsi="Palatino Linotype" w:cs="Arial"/>
          <w:sz w:val="24"/>
          <w:szCs w:val="24"/>
        </w:rPr>
        <w:t>y me permito manifestar lo siguiente</w:t>
      </w:r>
      <w:r w:rsidR="00483F14">
        <w:rPr>
          <w:rFonts w:ascii="Palatino Linotype" w:hAnsi="Palatino Linotype" w:cs="Arial"/>
          <w:sz w:val="24"/>
          <w:szCs w:val="24"/>
        </w:rPr>
        <w:t xml:space="preserve"> en el presente voto particular.</w:t>
      </w:r>
    </w:p>
    <w:p w:rsidR="00FB5F09" w:rsidRPr="00FB5F09" w:rsidRDefault="00FB5F09" w:rsidP="00E02A35">
      <w:pPr>
        <w:pStyle w:val="Prrafodelista"/>
        <w:pBdr>
          <w:top w:val="nil"/>
          <w:left w:val="nil"/>
          <w:bottom w:val="nil"/>
          <w:right w:val="nil"/>
          <w:between w:val="nil"/>
          <w:bar w:val="nil"/>
        </w:pBdr>
        <w:spacing w:before="240" w:after="240" w:line="360" w:lineRule="auto"/>
        <w:ind w:left="0"/>
        <w:jc w:val="both"/>
        <w:rPr>
          <w:rFonts w:ascii="Palatino Linotype" w:hAnsi="Palatino Linotype"/>
          <w:sz w:val="24"/>
          <w:szCs w:val="24"/>
        </w:rPr>
      </w:pPr>
    </w:p>
    <w:p w:rsidR="00FB5F09" w:rsidRDefault="00FB5F09" w:rsidP="00E02A35">
      <w:pPr>
        <w:pStyle w:val="Ttulo1"/>
        <w:numPr>
          <w:ilvl w:val="0"/>
          <w:numId w:val="2"/>
        </w:numPr>
        <w:spacing w:line="360" w:lineRule="auto"/>
        <w:ind w:left="0" w:firstLine="0"/>
      </w:pPr>
      <w:bookmarkStart w:id="3" w:name="_Toc8236628"/>
      <w:r>
        <w:t>Cuestiones de Especial Pronunciamiento.</w:t>
      </w:r>
      <w:bookmarkEnd w:id="3"/>
    </w:p>
    <w:p w:rsidR="00FB5F09" w:rsidRPr="00FB5F09" w:rsidRDefault="00FB5F09" w:rsidP="00E02A35">
      <w:pPr>
        <w:spacing w:line="360" w:lineRule="auto"/>
      </w:pPr>
    </w:p>
    <w:p w:rsidR="00534972" w:rsidRDefault="00FB5F09" w:rsidP="00E02A35">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Pr>
          <w:rFonts w:ascii="Palatino Linotype" w:hAnsi="Palatino Linotype"/>
          <w:sz w:val="24"/>
          <w:szCs w:val="24"/>
        </w:rPr>
        <w:lastRenderedPageBreak/>
        <w:t xml:space="preserve">Antes de ahondar en los temas entes señalados, </w:t>
      </w:r>
      <w:r w:rsidR="00534972">
        <w:rPr>
          <w:rFonts w:ascii="Palatino Linotype" w:hAnsi="Palatino Linotype"/>
          <w:sz w:val="24"/>
          <w:szCs w:val="24"/>
        </w:rPr>
        <w:t>considero necesario precisar que del estudio a la resolución que se presenta se advierte la colisión entre dos normas, por un lado la Ley del Sistema Estatal Anticorrupción de Estado de México y Municipios; y por el otro la Ley de Transparencia y Acceso a la Información Pública del Estado de México y Municipios, pues de conformidad con la primera los registros de las sanciones relativas a responsabilidades administrativas no graves no serán públicas y de conformidad con la seg</w:t>
      </w:r>
      <w:r w:rsidR="00E70B07">
        <w:rPr>
          <w:rFonts w:ascii="Palatino Linotype" w:hAnsi="Palatino Linotype"/>
          <w:sz w:val="24"/>
          <w:szCs w:val="24"/>
        </w:rPr>
        <w:t xml:space="preserve">unda se deberá de poner a disposición de los particulares la información  relativa las sanciones administrativas graves y no graves como a continuación se observa: </w:t>
      </w:r>
    </w:p>
    <w:p w:rsidR="00E70B07" w:rsidRPr="00E70B07" w:rsidRDefault="00E70B07" w:rsidP="00E02A35">
      <w:pPr>
        <w:pStyle w:val="Prrafodelista"/>
        <w:spacing w:line="360" w:lineRule="auto"/>
        <w:rPr>
          <w:rFonts w:ascii="Palatino Linotype" w:hAnsi="Palatino Linotype"/>
          <w:sz w:val="24"/>
          <w:szCs w:val="24"/>
        </w:rPr>
      </w:pPr>
    </w:p>
    <w:tbl>
      <w:tblPr>
        <w:tblStyle w:val="Tablaconcuadrcula"/>
        <w:tblW w:w="0" w:type="auto"/>
        <w:tblLook w:val="04A0" w:firstRow="1" w:lastRow="0" w:firstColumn="1" w:lastColumn="0" w:noHBand="0" w:noVBand="1"/>
      </w:tblPr>
      <w:tblGrid>
        <w:gridCol w:w="4414"/>
        <w:gridCol w:w="4414"/>
      </w:tblGrid>
      <w:tr w:rsidR="00E70B07" w:rsidTr="00FB5F09">
        <w:tc>
          <w:tcPr>
            <w:tcW w:w="4414" w:type="dxa"/>
          </w:tcPr>
          <w:p w:rsidR="00E70B07" w:rsidRPr="00E70B07" w:rsidRDefault="00E70B07" w:rsidP="00E02A35">
            <w:pPr>
              <w:spacing w:before="240" w:after="240" w:line="360" w:lineRule="auto"/>
              <w:jc w:val="both"/>
              <w:rPr>
                <w:rFonts w:ascii="Palatino Linotype" w:hAnsi="Palatino Linotype"/>
                <w:b/>
                <w:sz w:val="24"/>
                <w:szCs w:val="24"/>
              </w:rPr>
            </w:pPr>
            <w:r w:rsidRPr="00E70B07">
              <w:rPr>
                <w:rFonts w:ascii="Palatino Linotype" w:hAnsi="Palatino Linotype"/>
                <w:b/>
                <w:sz w:val="24"/>
                <w:szCs w:val="24"/>
              </w:rPr>
              <w:t xml:space="preserve">Ley del Sistema Anticorrupción del Estado de México y Municipios. </w:t>
            </w:r>
          </w:p>
        </w:tc>
        <w:tc>
          <w:tcPr>
            <w:tcW w:w="4414" w:type="dxa"/>
          </w:tcPr>
          <w:p w:rsidR="00E70B07" w:rsidRPr="00E70B07" w:rsidRDefault="00E70B07" w:rsidP="00E02A35">
            <w:pPr>
              <w:spacing w:before="240" w:after="240" w:line="360" w:lineRule="auto"/>
              <w:jc w:val="both"/>
              <w:rPr>
                <w:rFonts w:ascii="Palatino Linotype" w:hAnsi="Palatino Linotype"/>
                <w:b/>
                <w:sz w:val="24"/>
                <w:szCs w:val="24"/>
              </w:rPr>
            </w:pPr>
            <w:r w:rsidRPr="00E70B07">
              <w:rPr>
                <w:rFonts w:ascii="Palatino Linotype" w:hAnsi="Palatino Linotype"/>
                <w:b/>
                <w:sz w:val="24"/>
                <w:szCs w:val="24"/>
              </w:rPr>
              <w:t xml:space="preserve">Ley de Trasparencia y Acceso a la Información Pública del Estado de México y Municipios.  </w:t>
            </w:r>
          </w:p>
        </w:tc>
      </w:tr>
      <w:tr w:rsidR="00E70B07" w:rsidTr="00FB5F09">
        <w:tc>
          <w:tcPr>
            <w:tcW w:w="4414" w:type="dxa"/>
          </w:tcPr>
          <w:p w:rsidR="00E70B07" w:rsidRPr="00E70B07" w:rsidRDefault="00E70B07" w:rsidP="00E02A35">
            <w:pPr>
              <w:spacing w:before="240" w:after="240" w:line="360" w:lineRule="auto"/>
              <w:jc w:val="both"/>
              <w:rPr>
                <w:rFonts w:ascii="Palatino Linotype" w:hAnsi="Palatino Linotype"/>
                <w:sz w:val="24"/>
              </w:rPr>
            </w:pPr>
            <w:r w:rsidRPr="00E70B07">
              <w:rPr>
                <w:rFonts w:ascii="Palatino Linotype" w:hAnsi="Palatino Linotype"/>
                <w:sz w:val="24"/>
              </w:rPr>
              <w:t xml:space="preserve">Artículo 53. Las sanciones impuestas por faltas administrativas graves serán del conocimiento público cuando éstas contengan impedimentos o inhabilitaciones para ser contratados como servidores públicos o como prestadores de servicios o contratistas </w:t>
            </w:r>
            <w:r w:rsidRPr="00E70B07">
              <w:rPr>
                <w:rFonts w:ascii="Palatino Linotype" w:hAnsi="Palatino Linotype"/>
                <w:sz w:val="24"/>
              </w:rPr>
              <w:lastRenderedPageBreak/>
              <w:t xml:space="preserve">del sector público, en términos de la Ley de Responsabilidades Administrativas del Estado de México y Municipios. </w:t>
            </w:r>
          </w:p>
          <w:p w:rsidR="00E70B07" w:rsidRPr="00E70B07" w:rsidRDefault="00E70B07" w:rsidP="00E02A35">
            <w:pPr>
              <w:spacing w:before="240" w:after="240" w:line="360" w:lineRule="auto"/>
              <w:jc w:val="both"/>
              <w:rPr>
                <w:rFonts w:ascii="Palatino Linotype" w:hAnsi="Palatino Linotype"/>
                <w:b/>
                <w:sz w:val="24"/>
                <w:szCs w:val="24"/>
              </w:rPr>
            </w:pPr>
            <w:r w:rsidRPr="00E70B07">
              <w:rPr>
                <w:rFonts w:ascii="Palatino Linotype" w:hAnsi="Palatino Linotype"/>
                <w:b/>
                <w:sz w:val="24"/>
              </w:rPr>
              <w:t>Los registros de las sanciones relativas a responsabilidades administrativas no graves, quedarán registradas para efectos de eventual reincidencia, pero no serán públicas.</w:t>
            </w:r>
          </w:p>
        </w:tc>
        <w:tc>
          <w:tcPr>
            <w:tcW w:w="4414" w:type="dxa"/>
          </w:tcPr>
          <w:p w:rsidR="00E70B07" w:rsidRPr="00E70B07" w:rsidRDefault="00E70B07" w:rsidP="00E02A35">
            <w:pPr>
              <w:spacing w:before="240" w:after="240" w:line="360" w:lineRule="auto"/>
              <w:jc w:val="both"/>
              <w:rPr>
                <w:rFonts w:ascii="Palatino Linotype" w:hAnsi="Palatino Linotype"/>
              </w:rPr>
            </w:pPr>
            <w:r w:rsidRPr="00E70B07">
              <w:rPr>
                <w:rFonts w:ascii="Palatino Linotype" w:hAnsi="Palatino Linotype"/>
              </w:rPr>
              <w:lastRenderedPageBreak/>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w:t>
            </w:r>
            <w:r w:rsidRPr="00E70B07">
              <w:rPr>
                <w:rFonts w:ascii="Palatino Linotype" w:hAnsi="Palatino Linotype"/>
              </w:rPr>
              <w:lastRenderedPageBreak/>
              <w:t>de los temas, documentos y políticas que a continuación se señalan:</w:t>
            </w:r>
          </w:p>
          <w:p w:rsidR="00E70B07" w:rsidRPr="00E70B07" w:rsidRDefault="00E70B07" w:rsidP="00E02A35">
            <w:pPr>
              <w:spacing w:before="240" w:after="240" w:line="360" w:lineRule="auto"/>
              <w:jc w:val="both"/>
              <w:rPr>
                <w:rFonts w:ascii="Palatino Linotype" w:hAnsi="Palatino Linotype"/>
                <w:b/>
                <w:sz w:val="24"/>
                <w:szCs w:val="24"/>
              </w:rPr>
            </w:pPr>
            <w:r w:rsidRPr="00E70B07">
              <w:rPr>
                <w:rFonts w:ascii="Palatino Linotype" w:hAnsi="Palatino Linotype"/>
                <w:b/>
              </w:rPr>
              <w:t>XXII. El listado de Servidores Públicos con sanciones administrativas definitivas, especificando la causa de sanción y la disposición;</w:t>
            </w:r>
          </w:p>
        </w:tc>
      </w:tr>
    </w:tbl>
    <w:p w:rsidR="00E70B07" w:rsidRDefault="00E70B07" w:rsidP="00E02A35">
      <w:pPr>
        <w:pStyle w:val="Prrafodelista"/>
        <w:pBdr>
          <w:top w:val="nil"/>
          <w:left w:val="nil"/>
          <w:bottom w:val="nil"/>
          <w:right w:val="nil"/>
          <w:between w:val="nil"/>
          <w:bar w:val="nil"/>
        </w:pBdr>
        <w:spacing w:before="240" w:after="240" w:line="360" w:lineRule="auto"/>
        <w:ind w:left="0"/>
        <w:jc w:val="both"/>
        <w:rPr>
          <w:rFonts w:ascii="Palatino Linotype" w:hAnsi="Palatino Linotype"/>
          <w:sz w:val="24"/>
          <w:szCs w:val="24"/>
        </w:rPr>
      </w:pPr>
    </w:p>
    <w:p w:rsidR="00E70B07" w:rsidRPr="00E70B07" w:rsidRDefault="00E70B07" w:rsidP="00E02A35">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Pr>
          <w:rFonts w:ascii="Palatino Linotype" w:hAnsi="Palatino Linotype"/>
          <w:sz w:val="24"/>
          <w:szCs w:val="24"/>
        </w:rPr>
        <w:t xml:space="preserve">Expuesto lo anterior es necesario tomar en consideración que de conformidad con lo que ha </w:t>
      </w:r>
      <w:r w:rsidR="00CB3F4E">
        <w:rPr>
          <w:rFonts w:ascii="Palatino Linotype" w:hAnsi="Palatino Linotype"/>
          <w:sz w:val="24"/>
          <w:szCs w:val="24"/>
        </w:rPr>
        <w:t xml:space="preserve">referido la Suprema Corte de Justicia de la Nación a través de la tesis 2007573 publicada en la Gaceta Semanario Judicial de la Federación, las autoridades administrativas no se encuentran facultadas para realizar algún tipo de control constitucional, sea concentrado o difuso, lo que implica que este Órgano Garante no pueda declarar la invalidez de un determinado precepto e inaplicarlo aunque exista el argumento de una reparación de derechos humanos como a continuación se expone: </w:t>
      </w:r>
    </w:p>
    <w:p w:rsidR="00CB3A8E" w:rsidRPr="00CB3A8E" w:rsidRDefault="00CB3A8E" w:rsidP="00E02A35">
      <w:pPr>
        <w:pStyle w:val="Prrafodelista"/>
        <w:spacing w:line="360" w:lineRule="auto"/>
        <w:rPr>
          <w:rFonts w:ascii="Palatino Linotype" w:eastAsia="Times New Roman" w:hAnsi="Palatino Linotype" w:cs="Arial"/>
          <w:sz w:val="24"/>
        </w:rPr>
      </w:pPr>
    </w:p>
    <w:p w:rsidR="00CB3F4E" w:rsidRPr="00CB3F4E" w:rsidRDefault="00CB3F4E" w:rsidP="00E02A35">
      <w:pPr>
        <w:pStyle w:val="Prrafodelista"/>
        <w:spacing w:before="240" w:after="240" w:line="360" w:lineRule="auto"/>
        <w:ind w:left="567" w:right="616"/>
        <w:jc w:val="both"/>
        <w:rPr>
          <w:rFonts w:ascii="Palatino Linotype" w:hAnsi="Palatino Linotype"/>
          <w:i/>
        </w:rPr>
      </w:pPr>
      <w:r w:rsidRPr="00FB5F09">
        <w:rPr>
          <w:rFonts w:ascii="Palatino Linotype" w:hAnsi="Palatino Linotype"/>
          <w:b/>
          <w:i/>
        </w:rPr>
        <w:t>CONTROL CONSTITUCIONAL CONCENTRADO O DIFUSO. LAS AUTORIDADES ADMINISTRATIVAS NO ESTÁN FACULTADAS PARA REALIZARLO.</w:t>
      </w:r>
      <w:r w:rsidRPr="00CB3F4E">
        <w:rPr>
          <w:rFonts w:ascii="Palatino Linotype" w:hAnsi="Palatino Linotype"/>
          <w:i/>
        </w:rPr>
        <w:t xml:space="preserve"> El artículo 1o. de la Constitución Política de los Estados Unidos </w:t>
      </w:r>
      <w:r w:rsidRPr="00CB3F4E">
        <w:rPr>
          <w:rFonts w:ascii="Palatino Linotype" w:hAnsi="Palatino Linotype"/>
          <w:i/>
        </w:rPr>
        <w:lastRenderedPageBreak/>
        <w:t>Mexicanos establece que todas las autoridades, en el ámbito de sus competencias, deben cumplir con una serie de obligaciones en materia de derechos humanos. Sin embargo, en términos de la tesis P. LXIX/2011 (9a.) (*), del Tribunal Pleno de la Suprema Corte de Justicia de la Nación, las autoridades administrativas no están facultadas para realizar algún tipo de control constitucional, sea concentrado o difuso; es decir, no pueden declarar la invalidez de un determinado precepto e inaplicarlo, ni siquiera bajo el argumento de una reparación de derechos humanos, ya que ello implicaría desatender los requisitos de procedencia señalados por las leyes para interponer un medio de defensa, y que deben cumplirse de manera previa a un pronunciamiento de fondo del asunto. En todo caso, han de interpretar las disposiciones jurídicas en el sentido más favorable a las personas, pero sin que ello llegue a descuidar las facultades y funciones que deben desempeñar en atención a sus ámbitos competenciales. Aceptar lo contrario, generaría incertidumbre jurídica en franca contravención a otros derechos humanos como los de legalidad, debido proceso y seguridad jurídica, previstos en los artículos 14 y 16 constitucionales.</w:t>
      </w:r>
    </w:p>
    <w:p w:rsidR="00CB3A8E" w:rsidRDefault="00CB3F4E" w:rsidP="00E02A35">
      <w:pPr>
        <w:pStyle w:val="Prrafodelista"/>
        <w:spacing w:before="240" w:after="240" w:line="360" w:lineRule="auto"/>
        <w:ind w:left="567" w:right="616"/>
        <w:jc w:val="both"/>
        <w:rPr>
          <w:rFonts w:ascii="Palatino Linotype" w:hAnsi="Palatino Linotype"/>
          <w:i/>
        </w:rPr>
      </w:pPr>
      <w:r w:rsidRPr="00CB3F4E">
        <w:rPr>
          <w:rFonts w:ascii="Palatino Linotype" w:hAnsi="Palatino Linotype"/>
          <w:i/>
        </w:rPr>
        <w:t xml:space="preserve"> Amparo directo en revisión 1640/2014. Ramón Enrique Luque Félix. 13 de agosto de 2014. Unanimidad de cuatro votos de los Ministros Alberto Pérez Dayán, José Fernando Franco González Salas, Margarita Beatriz Luna Ramos y Luis María Aguilar Morales. Ausente: Sergio A. Valls Hernández. Ponente: José Fernando Franco González Salas. Secretarios: Maura Angélica Sanabria Martínez y Everardo Maya Arias. </w:t>
      </w:r>
    </w:p>
    <w:p w:rsidR="00CB3F4E" w:rsidRDefault="00CB3F4E" w:rsidP="00E02A35">
      <w:pPr>
        <w:pStyle w:val="Prrafodelista"/>
        <w:spacing w:before="240" w:after="240" w:line="360" w:lineRule="auto"/>
        <w:ind w:left="567" w:right="616"/>
        <w:jc w:val="both"/>
        <w:rPr>
          <w:rFonts w:ascii="Palatino Linotype" w:hAnsi="Palatino Linotype"/>
          <w:i/>
        </w:rPr>
      </w:pPr>
    </w:p>
    <w:p w:rsidR="00CB3F4E" w:rsidRPr="00CB3F4E" w:rsidRDefault="00CB3F4E" w:rsidP="00E02A35">
      <w:pPr>
        <w:pStyle w:val="Prrafodelista"/>
        <w:numPr>
          <w:ilvl w:val="0"/>
          <w:numId w:val="1"/>
        </w:numPr>
        <w:spacing w:before="240" w:after="240" w:line="360" w:lineRule="auto"/>
        <w:ind w:left="0" w:right="49" w:firstLine="0"/>
        <w:jc w:val="both"/>
        <w:rPr>
          <w:rFonts w:ascii="Palatino Linotype" w:hAnsi="Palatino Linotype"/>
          <w:i/>
          <w:sz w:val="24"/>
        </w:rPr>
      </w:pPr>
      <w:r w:rsidRPr="00CB3F4E">
        <w:rPr>
          <w:rFonts w:ascii="Palatino Linotype" w:hAnsi="Palatino Linotype"/>
          <w:sz w:val="24"/>
        </w:rPr>
        <w:t>As</w:t>
      </w:r>
      <w:r>
        <w:rPr>
          <w:rFonts w:ascii="Palatino Linotype" w:hAnsi="Palatino Linotype"/>
          <w:sz w:val="24"/>
        </w:rPr>
        <w:t xml:space="preserve">í tratado lo anterior, </w:t>
      </w:r>
      <w:r w:rsidR="00FB5F09">
        <w:rPr>
          <w:rFonts w:ascii="Palatino Linotype" w:hAnsi="Palatino Linotype"/>
          <w:sz w:val="24"/>
        </w:rPr>
        <w:t xml:space="preserve"> si bien </w:t>
      </w:r>
      <w:r>
        <w:rPr>
          <w:rFonts w:ascii="Palatino Linotype" w:hAnsi="Palatino Linotype"/>
          <w:sz w:val="24"/>
        </w:rPr>
        <w:t>es</w:t>
      </w:r>
      <w:r w:rsidR="00FB5F09">
        <w:rPr>
          <w:rFonts w:ascii="Palatino Linotype" w:hAnsi="Palatino Linotype"/>
          <w:sz w:val="24"/>
        </w:rPr>
        <w:t xml:space="preserve"> cierto ha quedado de manifiesto  que </w:t>
      </w:r>
      <w:r>
        <w:rPr>
          <w:rFonts w:ascii="Palatino Linotype" w:hAnsi="Palatino Linotype"/>
          <w:sz w:val="24"/>
        </w:rPr>
        <w:t xml:space="preserve">este Órgano Garante </w:t>
      </w:r>
      <w:r w:rsidR="00FB5F09">
        <w:rPr>
          <w:rFonts w:ascii="Palatino Linotype" w:hAnsi="Palatino Linotype"/>
          <w:sz w:val="24"/>
        </w:rPr>
        <w:t xml:space="preserve">se encuentra impedido para pronunciarse respecto de la invalidez de algún precepto, ya sea de la Ley del Sistema Anticorrupción del Estado de </w:t>
      </w:r>
      <w:r w:rsidR="00FB5F09">
        <w:rPr>
          <w:rFonts w:ascii="Palatino Linotype" w:hAnsi="Palatino Linotype"/>
          <w:sz w:val="24"/>
        </w:rPr>
        <w:lastRenderedPageBreak/>
        <w:t>México y Municipios o de la Ley de Transparencia y Acceso a la Información Pública del Estado de México y Municipios antes mencionados, lo cierto es que el particular en ejercicio del Derecho que le confiere el artículo 107 de la Constitución Política de los Estados Unidos Mexicanos, a través del juicio de amparo puede combatir o someter a consideración de la justicia federal la inaplicabilidad de alguna de las normas que en el presente apartado se advierte conflictuan.</w:t>
      </w:r>
    </w:p>
    <w:p w:rsidR="0003648B" w:rsidRPr="00427B79" w:rsidRDefault="00FB5F09" w:rsidP="00E02A35">
      <w:pPr>
        <w:pStyle w:val="Ttulo2"/>
        <w:spacing w:line="360" w:lineRule="auto"/>
        <w:rPr>
          <w:b/>
          <w:szCs w:val="24"/>
        </w:rPr>
      </w:pPr>
      <w:bookmarkStart w:id="4" w:name="_Toc469919070"/>
      <w:bookmarkStart w:id="5" w:name="_Toc8236629"/>
      <w:r>
        <w:rPr>
          <w:b/>
          <w:szCs w:val="24"/>
        </w:rPr>
        <w:t>IV</w:t>
      </w:r>
      <w:r w:rsidR="00483F14">
        <w:rPr>
          <w:b/>
          <w:szCs w:val="24"/>
        </w:rPr>
        <w:t>. Del Derecho de Acceso a la Información P</w:t>
      </w:r>
      <w:r w:rsidR="0003648B" w:rsidRPr="00427B79">
        <w:rPr>
          <w:b/>
          <w:szCs w:val="24"/>
        </w:rPr>
        <w:t>ública.</w:t>
      </w:r>
      <w:bookmarkEnd w:id="4"/>
      <w:bookmarkEnd w:id="5"/>
    </w:p>
    <w:p w:rsidR="0003648B" w:rsidRPr="00427B79" w:rsidRDefault="00CB3F4E" w:rsidP="00E02A35">
      <w:pPr>
        <w:pStyle w:val="Prrafodelista"/>
        <w:tabs>
          <w:tab w:val="left" w:pos="7650"/>
        </w:tabs>
        <w:spacing w:line="360" w:lineRule="auto"/>
        <w:ind w:left="0"/>
        <w:jc w:val="both"/>
        <w:rPr>
          <w:rFonts w:ascii="Palatino Linotype" w:hAnsi="Palatino Linotype" w:cs="Arial"/>
          <w:sz w:val="24"/>
          <w:szCs w:val="24"/>
        </w:rPr>
      </w:pPr>
      <w:r>
        <w:rPr>
          <w:rFonts w:ascii="Palatino Linotype" w:hAnsi="Palatino Linotype" w:cs="Arial"/>
          <w:sz w:val="24"/>
          <w:szCs w:val="24"/>
        </w:rPr>
        <w:tab/>
      </w:r>
    </w:p>
    <w:p w:rsidR="0003648B" w:rsidRPr="00427B79" w:rsidRDefault="0003648B" w:rsidP="00E02A35">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E02A35">
      <w:pPr>
        <w:pStyle w:val="Prrafodelista"/>
        <w:spacing w:after="0" w:line="360" w:lineRule="auto"/>
        <w:ind w:left="0"/>
        <w:jc w:val="both"/>
        <w:rPr>
          <w:rFonts w:ascii="Palatino Linotype" w:hAnsi="Palatino Linotype" w:cs="Arial"/>
          <w:sz w:val="24"/>
          <w:szCs w:val="24"/>
        </w:rPr>
      </w:pPr>
    </w:p>
    <w:p w:rsidR="0003648B" w:rsidRPr="00427B79" w:rsidRDefault="0003648B" w:rsidP="00E02A3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E02A35">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E02A35">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E02A35">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E02A35">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E02A35">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E02A35">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E02A35">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E02A35">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E02A3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E02A35">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E02A3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E02A35">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E02A3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E02A35">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E02A3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E02A35">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E02A3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E02A35">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E02A35">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E02A35">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E02A35">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E02A35">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E02A35">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E02A35">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534972" w:rsidRDefault="0003648B" w:rsidP="00E02A35">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534972" w:rsidRDefault="00534972" w:rsidP="00E02A35">
      <w:pPr>
        <w:pStyle w:val="Ttulo1"/>
        <w:spacing w:line="360" w:lineRule="auto"/>
        <w:rPr>
          <w:rFonts w:eastAsia="Calibri"/>
          <w:color w:val="auto"/>
          <w:szCs w:val="24"/>
        </w:rPr>
      </w:pPr>
    </w:p>
    <w:p w:rsidR="00680533" w:rsidRPr="00427B79" w:rsidRDefault="00534972" w:rsidP="00E02A35">
      <w:pPr>
        <w:pStyle w:val="Ttulo1"/>
        <w:spacing w:line="360" w:lineRule="auto"/>
        <w:rPr>
          <w:rFonts w:eastAsia="Calibri"/>
          <w:b w:val="0"/>
          <w:color w:val="auto"/>
          <w:szCs w:val="24"/>
        </w:rPr>
      </w:pPr>
      <w:bookmarkStart w:id="6" w:name="_Toc8236630"/>
      <w:r>
        <w:rPr>
          <w:rFonts w:eastAsia="Calibri"/>
          <w:color w:val="auto"/>
          <w:szCs w:val="24"/>
        </w:rPr>
        <w:t>V.</w:t>
      </w:r>
      <w:r w:rsidR="00835C8D">
        <w:rPr>
          <w:rFonts w:eastAsia="Calibri"/>
          <w:color w:val="auto"/>
          <w:szCs w:val="24"/>
        </w:rPr>
        <w:t xml:space="preserve"> </w:t>
      </w:r>
      <w:r w:rsidR="00483F14">
        <w:rPr>
          <w:rFonts w:eastAsia="Calibri"/>
          <w:color w:val="auto"/>
          <w:szCs w:val="24"/>
        </w:rPr>
        <w:t>Del Pronunciamiento S</w:t>
      </w:r>
      <w:r w:rsidR="00680533" w:rsidRPr="00427B79">
        <w:rPr>
          <w:rFonts w:eastAsia="Calibri"/>
          <w:color w:val="auto"/>
          <w:szCs w:val="24"/>
        </w:rPr>
        <w:t>imple</w:t>
      </w:r>
      <w:r w:rsidR="00483F14">
        <w:rPr>
          <w:rFonts w:eastAsia="Calibri"/>
          <w:color w:val="auto"/>
          <w:szCs w:val="24"/>
        </w:rPr>
        <w:t>.</w:t>
      </w:r>
      <w:bookmarkEnd w:id="6"/>
    </w:p>
    <w:p w:rsidR="00E6179D" w:rsidRPr="00427B79" w:rsidRDefault="00E6179D" w:rsidP="00E02A35">
      <w:pPr>
        <w:spacing w:after="0" w:line="360" w:lineRule="auto"/>
        <w:contextualSpacing/>
        <w:jc w:val="both"/>
        <w:rPr>
          <w:rFonts w:ascii="Palatino Linotype" w:eastAsia="Calibri" w:hAnsi="Palatino Linotype" w:cs="Arial"/>
          <w:sz w:val="24"/>
          <w:szCs w:val="24"/>
        </w:rPr>
      </w:pPr>
    </w:p>
    <w:p w:rsidR="00E6179D" w:rsidRPr="00427B79" w:rsidRDefault="00E6179D" w:rsidP="00E02A35">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02A35">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E02A35">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E02A35">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E02A35">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E02A35">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E02A35">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E02A35">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E02A35">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02A35">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E02A35">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 xml:space="preserve">en un acto de autoridad se cumple con la debida fundamentación cuando se cita el precepto legal aplicable al caso concreto y la debida motivación cuando se </w:t>
      </w:r>
      <w:r w:rsidRPr="00427B79">
        <w:rPr>
          <w:rFonts w:ascii="Palatino Linotype" w:eastAsia="Times New Roman" w:hAnsi="Palatino Linotype" w:cs="Arial"/>
          <w:sz w:val="24"/>
          <w:szCs w:val="24"/>
          <w:lang w:val="es-ES_tradnl" w:eastAsia="es-MX"/>
        </w:rPr>
        <w:lastRenderedPageBreak/>
        <w:t>expresan las razones, motivos o circunstancias que tomó en cuenta la autoridad para adecuar el hecho a los fundamentos de derecho.</w:t>
      </w:r>
    </w:p>
    <w:p w:rsidR="00E6179D" w:rsidRPr="00427B79" w:rsidRDefault="00E6179D" w:rsidP="00E02A35">
      <w:pPr>
        <w:spacing w:after="0" w:line="360" w:lineRule="auto"/>
        <w:contextualSpacing/>
        <w:jc w:val="both"/>
        <w:rPr>
          <w:rFonts w:ascii="Palatino Linotype" w:eastAsia="Calibri" w:hAnsi="Palatino Linotype" w:cs="Arial"/>
          <w:sz w:val="24"/>
          <w:szCs w:val="24"/>
        </w:rPr>
      </w:pPr>
    </w:p>
    <w:p w:rsidR="00D35B4C" w:rsidRDefault="00E6179D" w:rsidP="00E02A35">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Lo anterior a razón de que</w:t>
      </w:r>
      <w:r w:rsidR="00CB3A8E">
        <w:rPr>
          <w:rFonts w:ascii="Palatino Linotype" w:eastAsia="Calibri" w:hAnsi="Palatino Linotype" w:cs="Arial"/>
          <w:sz w:val="24"/>
          <w:szCs w:val="24"/>
        </w:rPr>
        <w:t xml:space="preserve"> se le esta ordenando al </w:t>
      </w:r>
      <w:r w:rsidRPr="00427B79">
        <w:rPr>
          <w:rFonts w:ascii="Palatino Linotype" w:eastAsia="Calibri" w:hAnsi="Palatino Linotype" w:cs="Arial"/>
          <w:sz w:val="24"/>
          <w:szCs w:val="24"/>
        </w:rPr>
        <w:t>Sujeto Obligado simplemente a manifestar</w:t>
      </w:r>
      <w:r w:rsidR="00CB3A8E">
        <w:rPr>
          <w:rFonts w:ascii="Palatino Linotype" w:eastAsia="Calibri" w:hAnsi="Palatino Linotype" w:cs="Arial"/>
          <w:sz w:val="24"/>
          <w:szCs w:val="24"/>
        </w:rPr>
        <w:t xml:space="preserve"> que en caso de contar con la información</w:t>
      </w:r>
      <w:r w:rsidRPr="00427B79">
        <w:rPr>
          <w:rFonts w:ascii="Palatino Linotype" w:eastAsia="Calibri" w:hAnsi="Palatino Linotype" w:cs="Arial"/>
          <w:sz w:val="24"/>
          <w:szCs w:val="24"/>
        </w:rPr>
        <w:t xml:space="preserve"> </w:t>
      </w:r>
      <w:r w:rsidRPr="00427B79">
        <w:rPr>
          <w:rFonts w:ascii="Palatino Linotype" w:eastAsia="Calibri" w:hAnsi="Palatino Linotype" w:cs="Arial"/>
          <w:i/>
          <w:sz w:val="24"/>
          <w:szCs w:val="24"/>
        </w:rPr>
        <w:t>“</w:t>
      </w:r>
      <w:r w:rsidR="00CB3A8E" w:rsidRPr="00CB3A8E">
        <w:rPr>
          <w:rFonts w:ascii="Palatino Linotype" w:eastAsia="Calibri" w:hAnsi="Palatino Linotype" w:cs="Arial"/>
          <w:i/>
          <w:iCs/>
          <w:sz w:val="24"/>
          <w:szCs w:val="24"/>
        </w:rPr>
        <w:t xml:space="preserve">bastará con hacerlo del conocimiento del </w:t>
      </w:r>
      <w:r w:rsidR="00CB3A8E">
        <w:rPr>
          <w:rFonts w:ascii="Palatino Linotype" w:eastAsia="Calibri" w:hAnsi="Palatino Linotype" w:cs="Arial"/>
          <w:b/>
          <w:i/>
          <w:iCs/>
          <w:sz w:val="24"/>
          <w:szCs w:val="24"/>
        </w:rPr>
        <w:t>RECURRENTE</w:t>
      </w:r>
      <w:r w:rsidRPr="00427B79">
        <w:rPr>
          <w:rFonts w:ascii="Palatino Linotype" w:eastAsia="Calibri" w:hAnsi="Palatino Linotype" w:cs="Arial"/>
          <w:i/>
          <w:sz w:val="24"/>
          <w:szCs w:val="24"/>
        </w:rPr>
        <w:t xml:space="preserve">” </w:t>
      </w:r>
      <w:r w:rsidR="00CB3A8E">
        <w:rPr>
          <w:rFonts w:ascii="Palatino Linotype" w:eastAsia="Calibri" w:hAnsi="Palatino Linotype" w:cs="Arial"/>
          <w:sz w:val="24"/>
          <w:szCs w:val="24"/>
        </w:rPr>
        <w:t xml:space="preserve">lo cual se considera </w:t>
      </w:r>
      <w:r w:rsidRPr="00427B79">
        <w:rPr>
          <w:rFonts w:ascii="Palatino Linotype" w:eastAsia="Calibri" w:hAnsi="Palatino Linotype" w:cs="Arial"/>
          <w:sz w:val="24"/>
          <w:szCs w:val="24"/>
        </w:rPr>
        <w:t>un pronunciamiento simple;</w:t>
      </w:r>
      <w:r w:rsidR="00A154B2">
        <w:rPr>
          <w:rFonts w:ascii="Palatino Linotype" w:eastAsia="Calibri" w:hAnsi="Palatino Linotype" w:cs="Arial"/>
          <w:sz w:val="24"/>
          <w:szCs w:val="24"/>
        </w:rPr>
        <w:t xml:space="preserve"> y por lo tanto</w:t>
      </w:r>
      <w:r w:rsidRPr="00427B79">
        <w:rPr>
          <w:rFonts w:ascii="Palatino Linotype" w:eastAsia="Calibri" w:hAnsi="Palatino Linotype" w:cs="Arial"/>
          <w:sz w:val="24"/>
          <w:szCs w:val="24"/>
        </w:rPr>
        <w:t>, carece de fundamentación y motivación, toda vez que no</w:t>
      </w:r>
      <w:r w:rsidR="00CB3A8E">
        <w:rPr>
          <w:rFonts w:ascii="Palatino Linotype" w:eastAsia="Calibri" w:hAnsi="Palatino Linotype" w:cs="Arial"/>
          <w:sz w:val="24"/>
          <w:szCs w:val="24"/>
        </w:rPr>
        <w:t xml:space="preserve"> se</w:t>
      </w:r>
      <w:r w:rsidRPr="00427B79">
        <w:rPr>
          <w:rFonts w:ascii="Palatino Linotype" w:eastAsia="Calibri" w:hAnsi="Palatino Linotype" w:cs="Arial"/>
          <w:sz w:val="24"/>
          <w:szCs w:val="24"/>
        </w:rPr>
        <w:t xml:space="preserve"> </w:t>
      </w:r>
      <w:r w:rsidR="00CB3A8E">
        <w:rPr>
          <w:rFonts w:ascii="Palatino Linotype" w:eastAsia="Calibri" w:hAnsi="Palatino Linotype" w:cs="Arial"/>
          <w:sz w:val="24"/>
          <w:szCs w:val="24"/>
        </w:rPr>
        <w:t>explicarían</w:t>
      </w:r>
      <w:r w:rsidRPr="00427B79">
        <w:rPr>
          <w:rFonts w:ascii="Palatino Linotype" w:eastAsia="Calibri" w:hAnsi="Palatino Linotype" w:cs="Arial"/>
          <w:sz w:val="24"/>
          <w:szCs w:val="24"/>
        </w:rPr>
        <w:t xml:space="preserve">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E02A35">
      <w:pPr>
        <w:spacing w:after="0" w:line="360" w:lineRule="auto"/>
        <w:contextualSpacing/>
        <w:jc w:val="both"/>
        <w:rPr>
          <w:rFonts w:ascii="Palatino Linotype" w:eastAsia="Calibri" w:hAnsi="Palatino Linotype" w:cs="Arial"/>
          <w:sz w:val="24"/>
          <w:szCs w:val="24"/>
        </w:rPr>
      </w:pPr>
    </w:p>
    <w:p w:rsidR="00A22908" w:rsidRDefault="00D35B4C" w:rsidP="00E02A35">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w:t>
      </w:r>
      <w:r w:rsidR="00E6179D" w:rsidRPr="00427B79">
        <w:rPr>
          <w:rFonts w:ascii="Palatino Linotype" w:eastAsia="Calibri" w:hAnsi="Palatino Linotype" w:cs="Arial"/>
          <w:sz w:val="24"/>
          <w:szCs w:val="24"/>
        </w:rPr>
        <w:lastRenderedPageBreak/>
        <w:t>de manera clara, las razones que expliquen las causas por las que no se cuenta con la información requerida en el presente asunto.</w:t>
      </w:r>
    </w:p>
    <w:p w:rsidR="00A22908" w:rsidRDefault="00A22908" w:rsidP="00E02A35">
      <w:pPr>
        <w:pStyle w:val="Prrafodelista"/>
        <w:spacing w:line="360" w:lineRule="auto"/>
        <w:rPr>
          <w:rFonts w:ascii="Palatino Linotype" w:eastAsia="Calibri" w:hAnsi="Palatino Linotype" w:cs="Arial"/>
          <w:sz w:val="24"/>
          <w:szCs w:val="24"/>
          <w:lang w:val="es-ES_tradnl"/>
        </w:rPr>
      </w:pPr>
    </w:p>
    <w:p w:rsidR="00A22908" w:rsidRPr="00A22908" w:rsidRDefault="00A22908" w:rsidP="00E02A35">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E02A35">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E02A35">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E02A35">
      <w:pPr>
        <w:spacing w:after="0" w:line="360" w:lineRule="auto"/>
        <w:contextualSpacing/>
        <w:jc w:val="both"/>
        <w:rPr>
          <w:rFonts w:ascii="Palatino Linotype" w:eastAsia="Calibri" w:hAnsi="Palatino Linotype" w:cs="Arial"/>
          <w:sz w:val="24"/>
          <w:szCs w:val="24"/>
          <w:lang w:val="es-ES_tradnl"/>
        </w:rPr>
      </w:pPr>
    </w:p>
    <w:p w:rsidR="00A22908" w:rsidRDefault="00A22908" w:rsidP="00E02A35">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E02A35">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E02A35">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E02A35">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E02A35">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E02A35">
      <w:pPr>
        <w:pStyle w:val="Prrafodelista"/>
        <w:spacing w:line="360" w:lineRule="auto"/>
        <w:rPr>
          <w:rFonts w:ascii="Palatino Linotype" w:eastAsia="Calibri" w:hAnsi="Palatino Linotype" w:cs="Arial"/>
          <w:sz w:val="24"/>
          <w:szCs w:val="24"/>
          <w:lang w:val="es-ES_tradnl"/>
        </w:rPr>
      </w:pPr>
    </w:p>
    <w:p w:rsidR="00A22908" w:rsidRDefault="00A22908" w:rsidP="00E02A35">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E02A35">
      <w:pPr>
        <w:spacing w:after="0" w:line="360" w:lineRule="auto"/>
        <w:ind w:right="616"/>
        <w:contextualSpacing/>
        <w:jc w:val="both"/>
        <w:rPr>
          <w:rFonts w:ascii="Palatino Linotype" w:eastAsia="Calibri" w:hAnsi="Palatino Linotype" w:cs="Arial"/>
          <w:i/>
          <w:lang w:val="es-ES_tradnl"/>
        </w:rPr>
      </w:pPr>
    </w:p>
    <w:p w:rsidR="00A22908" w:rsidRDefault="00A22908" w:rsidP="00E02A35">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E02A35">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E02A35">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E02A35">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E02A35">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02A35">
      <w:pPr>
        <w:spacing w:after="0" w:line="360" w:lineRule="auto"/>
        <w:contextualSpacing/>
        <w:jc w:val="both"/>
        <w:rPr>
          <w:b/>
          <w:bCs/>
          <w:sz w:val="24"/>
          <w:szCs w:val="24"/>
        </w:rPr>
      </w:pPr>
    </w:p>
    <w:p w:rsidR="00E6179D" w:rsidRPr="00427B79" w:rsidRDefault="00E6179D" w:rsidP="00E02A35">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02A35">
      <w:pPr>
        <w:spacing w:after="0" w:line="360" w:lineRule="auto"/>
        <w:contextualSpacing/>
        <w:jc w:val="both"/>
        <w:rPr>
          <w:rFonts w:ascii="Palatino Linotype" w:eastAsia="Calibri" w:hAnsi="Palatino Linotype" w:cs="Arial"/>
          <w:sz w:val="24"/>
          <w:szCs w:val="24"/>
        </w:rPr>
      </w:pPr>
    </w:p>
    <w:p w:rsidR="0083488C" w:rsidRPr="0083488C" w:rsidRDefault="0083488C" w:rsidP="00E02A35">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E02A35">
      <w:pPr>
        <w:spacing w:after="0" w:line="360" w:lineRule="auto"/>
        <w:jc w:val="both"/>
        <w:rPr>
          <w:rFonts w:ascii="Palatino Linotype" w:eastAsia="Calibri" w:hAnsi="Palatino Linotype" w:cs="Arial"/>
          <w:sz w:val="24"/>
          <w:szCs w:val="24"/>
        </w:rPr>
      </w:pPr>
    </w:p>
    <w:p w:rsidR="00E6179D" w:rsidRPr="0083488C" w:rsidRDefault="00E6179D" w:rsidP="00E02A35">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w:t>
      </w:r>
      <w:r w:rsidRPr="0083488C">
        <w:rPr>
          <w:rFonts w:ascii="Palatino Linotype" w:hAnsi="Palatino Linotype" w:cs="Times New Roman"/>
          <w:i/>
        </w:rPr>
        <w:lastRenderedPageBreak/>
        <w:t>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02A35">
      <w:pPr>
        <w:spacing w:after="0" w:line="360" w:lineRule="auto"/>
        <w:contextualSpacing/>
        <w:jc w:val="both"/>
        <w:rPr>
          <w:rFonts w:ascii="Palatino Linotype" w:eastAsia="Calibri" w:hAnsi="Palatino Linotype" w:cs="Arial"/>
          <w:sz w:val="24"/>
          <w:szCs w:val="24"/>
        </w:rPr>
      </w:pPr>
    </w:p>
    <w:p w:rsidR="00E6179D" w:rsidRPr="0083488C" w:rsidRDefault="00E6179D" w:rsidP="00E02A35">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83488C">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B73B30" w:rsidRDefault="00E6179D" w:rsidP="00E02A35">
      <w:pPr>
        <w:spacing w:after="0" w:line="360" w:lineRule="auto"/>
        <w:contextualSpacing/>
        <w:jc w:val="both"/>
        <w:rPr>
          <w:rFonts w:ascii="Palatino Linotype" w:hAnsi="Palatino Linotype"/>
          <w:sz w:val="24"/>
          <w:szCs w:val="24"/>
        </w:rPr>
      </w:pPr>
    </w:p>
    <w:p w:rsidR="00483F14" w:rsidRPr="00FB5F09" w:rsidRDefault="00E6179D" w:rsidP="00E02A35">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234AF5" w:rsidRDefault="00CD53CB" w:rsidP="00E02A35">
      <w:pPr>
        <w:pStyle w:val="Ttulo1"/>
        <w:spacing w:line="360" w:lineRule="auto"/>
        <w:rPr>
          <w:rFonts w:eastAsia="Calibri"/>
          <w:color w:val="auto"/>
          <w:szCs w:val="24"/>
        </w:rPr>
      </w:pPr>
      <w:bookmarkStart w:id="7" w:name="_Toc8236631"/>
      <w:r>
        <w:rPr>
          <w:rFonts w:eastAsia="Calibri"/>
          <w:color w:val="auto"/>
          <w:szCs w:val="24"/>
        </w:rPr>
        <w:t>V</w:t>
      </w:r>
      <w:r w:rsidR="00FB5F09">
        <w:rPr>
          <w:rFonts w:eastAsia="Calibri"/>
          <w:color w:val="auto"/>
          <w:szCs w:val="24"/>
        </w:rPr>
        <w:t>I</w:t>
      </w:r>
      <w:r>
        <w:rPr>
          <w:rFonts w:eastAsia="Calibri"/>
          <w:color w:val="auto"/>
          <w:szCs w:val="24"/>
        </w:rPr>
        <w:t xml:space="preserve">. </w:t>
      </w:r>
      <w:r w:rsidR="00483F14">
        <w:rPr>
          <w:rFonts w:eastAsia="Calibri"/>
          <w:color w:val="auto"/>
          <w:szCs w:val="24"/>
        </w:rPr>
        <w:t>De la I</w:t>
      </w:r>
      <w:r w:rsidR="00234AF5">
        <w:rPr>
          <w:rFonts w:eastAsia="Calibri"/>
          <w:color w:val="auto"/>
          <w:szCs w:val="24"/>
        </w:rPr>
        <w:t>nformaci</w:t>
      </w:r>
      <w:r w:rsidR="00483F14">
        <w:rPr>
          <w:rFonts w:eastAsia="Calibri"/>
          <w:color w:val="auto"/>
          <w:szCs w:val="24"/>
        </w:rPr>
        <w:t>ón R</w:t>
      </w:r>
      <w:r w:rsidR="00234AF5">
        <w:rPr>
          <w:rFonts w:eastAsia="Calibri"/>
          <w:color w:val="auto"/>
          <w:szCs w:val="24"/>
        </w:rPr>
        <w:t>eservada.</w:t>
      </w:r>
      <w:bookmarkEnd w:id="7"/>
      <w:r w:rsidR="00234AF5">
        <w:rPr>
          <w:rFonts w:eastAsia="Calibri"/>
          <w:color w:val="auto"/>
          <w:szCs w:val="24"/>
        </w:rPr>
        <w:t xml:space="preserve"> </w:t>
      </w:r>
    </w:p>
    <w:p w:rsidR="00234AF5" w:rsidRPr="00234AF5" w:rsidRDefault="00234AF5" w:rsidP="00E02A35">
      <w:pPr>
        <w:spacing w:line="360" w:lineRule="auto"/>
      </w:pPr>
    </w:p>
    <w:p w:rsidR="00C83483" w:rsidRPr="00C83483" w:rsidRDefault="00C83483" w:rsidP="00E02A35">
      <w:pPr>
        <w:numPr>
          <w:ilvl w:val="0"/>
          <w:numId w:val="1"/>
        </w:numPr>
        <w:spacing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concierne a la reserva de la in formación, es necesario precisar que </w:t>
      </w:r>
      <w:r>
        <w:rPr>
          <w:rFonts w:ascii="Palatino Linotype" w:hAnsi="Palatino Linotype" w:cs="Arial"/>
          <w:sz w:val="24"/>
          <w:szCs w:val="24"/>
        </w:rPr>
        <w:t>c</w:t>
      </w:r>
      <w:r w:rsidRPr="00C83483">
        <w:rPr>
          <w:rFonts w:ascii="Palatino Linotype" w:hAnsi="Palatino Linotype" w:cs="Arial"/>
          <w:sz w:val="24"/>
          <w:szCs w:val="24"/>
        </w:rPr>
        <w:t>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de la información es un supuesto que tanto la Ley General de Transparencia y A</w:t>
      </w:r>
      <w:r w:rsidR="00DE2D8F" w:rsidRPr="00DE2D8F">
        <w:rPr>
          <w:rFonts w:ascii="Palatino Linotype" w:hAnsi="Palatino Linotype" w:cs="Arial"/>
          <w:sz w:val="24"/>
          <w:szCs w:val="24"/>
        </w:rPr>
        <w:t>cceso a la Información Pública</w:t>
      </w:r>
      <w:r w:rsidRPr="00C83483">
        <w:rPr>
          <w:rFonts w:ascii="Palatino Linotype" w:hAnsi="Palatino Linotype" w:cs="Arial"/>
          <w:sz w:val="24"/>
          <w:szCs w:val="24"/>
        </w:rPr>
        <w:t>, como la Ley de Transparencia y Acceso a la Información Pública del</w:t>
      </w:r>
      <w:r w:rsidR="00DE2D8F" w:rsidRPr="00DE2D8F">
        <w:rPr>
          <w:rFonts w:ascii="Palatino Linotype" w:hAnsi="Palatino Linotype" w:cs="Arial"/>
          <w:sz w:val="24"/>
          <w:szCs w:val="24"/>
        </w:rPr>
        <w:t xml:space="preserve"> Estado de México y Municipios, </w:t>
      </w:r>
      <w:r w:rsidRPr="00C83483">
        <w:rPr>
          <w:rFonts w:ascii="Palatino Linotype" w:hAnsi="Palatino Linotype" w:cs="Arial"/>
          <w:sz w:val="24"/>
          <w:szCs w:val="24"/>
        </w:rPr>
        <w:t>establecen</w:t>
      </w:r>
      <w:r w:rsidR="00DE2D8F" w:rsidRPr="00DE2D8F">
        <w:rPr>
          <w:rFonts w:ascii="Palatino Linotype" w:hAnsi="Palatino Linotype" w:cs="Arial"/>
          <w:sz w:val="24"/>
          <w:szCs w:val="24"/>
        </w:rPr>
        <w:t>.</w:t>
      </w:r>
    </w:p>
    <w:p w:rsidR="00C83483" w:rsidRDefault="00C83483" w:rsidP="00E02A35">
      <w:pPr>
        <w:spacing w:line="360" w:lineRule="auto"/>
        <w:contextualSpacing/>
        <w:jc w:val="both"/>
        <w:rPr>
          <w:rFonts w:ascii="Palatino Linotype" w:eastAsia="Calibri" w:hAnsi="Palatino Linotype" w:cs="Arial"/>
          <w:sz w:val="24"/>
          <w:szCs w:val="24"/>
        </w:rPr>
      </w:pPr>
    </w:p>
    <w:p w:rsidR="00C83483" w:rsidRPr="00C83483" w:rsidRDefault="00C83483" w:rsidP="00E02A35">
      <w:pPr>
        <w:numPr>
          <w:ilvl w:val="0"/>
          <w:numId w:val="1"/>
        </w:numPr>
        <w:spacing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Así en respuesta a la solicitud de información el </w:t>
      </w:r>
      <w:r>
        <w:rPr>
          <w:rFonts w:ascii="Palatino Linotype" w:eastAsia="Calibri" w:hAnsi="Palatino Linotype" w:cs="Arial"/>
          <w:b/>
          <w:sz w:val="24"/>
          <w:szCs w:val="24"/>
        </w:rPr>
        <w:t xml:space="preserve">SUJETO OBLIGADO </w:t>
      </w:r>
      <w:r>
        <w:rPr>
          <w:rFonts w:ascii="Palatino Linotype" w:eastAsia="Calibri" w:hAnsi="Palatino Linotype" w:cs="Arial"/>
          <w:sz w:val="24"/>
          <w:szCs w:val="24"/>
        </w:rPr>
        <w:t xml:space="preserve"> refirió que </w:t>
      </w:r>
      <w:r w:rsidRPr="00C83483">
        <w:rPr>
          <w:rFonts w:ascii="Palatino Linotype" w:hAnsi="Palatino Linotype" w:cs="Arial"/>
          <w:sz w:val="24"/>
          <w:szCs w:val="24"/>
        </w:rPr>
        <w:t>genera, posee y administra la información</w:t>
      </w:r>
      <w:r>
        <w:rPr>
          <w:rFonts w:ascii="Palatino Linotype" w:hAnsi="Palatino Linotype" w:cs="Arial"/>
          <w:sz w:val="24"/>
          <w:szCs w:val="24"/>
        </w:rPr>
        <w:t xml:space="preserve"> solicitada</w:t>
      </w:r>
      <w:r w:rsidRPr="00C83483">
        <w:rPr>
          <w:rFonts w:ascii="Palatino Linotype" w:hAnsi="Palatino Linotype" w:cs="Arial"/>
          <w:sz w:val="24"/>
          <w:szCs w:val="24"/>
        </w:rPr>
        <w:t xml:space="preserve">, motivo por el cual se </w:t>
      </w:r>
      <w:r w:rsidRPr="00C83483">
        <w:rPr>
          <w:rFonts w:ascii="Palatino Linotype" w:hAnsi="Palatino Linotype" w:cs="Arial"/>
          <w:sz w:val="24"/>
          <w:szCs w:val="24"/>
        </w:rPr>
        <w:lastRenderedPageBreak/>
        <w:t xml:space="preserve">omitió un análisis de la fuente obligacional del Sujeto Obligado al respecto, y se </w:t>
      </w:r>
      <w:r w:rsidR="00CB3A8E">
        <w:rPr>
          <w:rFonts w:ascii="Palatino Linotype" w:hAnsi="Palatino Linotype" w:cs="Arial"/>
          <w:sz w:val="24"/>
          <w:szCs w:val="24"/>
        </w:rPr>
        <w:t xml:space="preserve">procedió </w:t>
      </w:r>
      <w:r w:rsidRPr="00C83483">
        <w:rPr>
          <w:rFonts w:ascii="Palatino Linotype" w:hAnsi="Palatino Linotype" w:cs="Arial"/>
          <w:sz w:val="24"/>
          <w:szCs w:val="24"/>
        </w:rPr>
        <w:t>a ordenar la entrega del soporte documental de referencia, sin embargo, es de señalar que a la resolución se agregó que</w:t>
      </w:r>
      <w:r>
        <w:rPr>
          <w:rFonts w:ascii="Palatino Linotype" w:hAnsi="Palatino Linotype" w:cs="Arial"/>
          <w:sz w:val="24"/>
          <w:szCs w:val="24"/>
        </w:rPr>
        <w:t xml:space="preserve"> </w:t>
      </w:r>
      <w:r w:rsidRPr="00C83483">
        <w:rPr>
          <w:rFonts w:ascii="Palatino Linotype" w:hAnsi="Palatino Linotype" w:cs="Arial"/>
          <w:sz w:val="24"/>
          <w:szCs w:val="24"/>
        </w:rPr>
        <w:t>en caso de que parte de la información solicitada encuadre  en alguna causal de reserva deberá elaborar un Acuerdo de Clasificación.</w:t>
      </w:r>
    </w:p>
    <w:p w:rsidR="00C83483" w:rsidRPr="00C83483" w:rsidRDefault="00C83483" w:rsidP="00E02A35">
      <w:pPr>
        <w:spacing w:line="360" w:lineRule="auto"/>
        <w:contextualSpacing/>
        <w:jc w:val="both"/>
        <w:rPr>
          <w:rFonts w:ascii="Palatino Linotype" w:eastAsia="Calibri" w:hAnsi="Palatino Linotype" w:cs="Arial"/>
          <w:sz w:val="24"/>
          <w:szCs w:val="24"/>
        </w:rPr>
      </w:pPr>
    </w:p>
    <w:p w:rsidR="00C83483" w:rsidRPr="00E02A35" w:rsidRDefault="00C83483" w:rsidP="00E02A35">
      <w:pPr>
        <w:numPr>
          <w:ilvl w:val="0"/>
          <w:numId w:val="1"/>
        </w:numPr>
        <w:spacing w:after="0" w:line="360" w:lineRule="auto"/>
        <w:ind w:left="0" w:right="49" w:firstLine="0"/>
        <w:contextualSpacing/>
        <w:jc w:val="both"/>
        <w:rPr>
          <w:rFonts w:ascii="Palatino Linotype" w:hAnsi="Palatino Linotype" w:cs="Arial"/>
          <w:sz w:val="24"/>
          <w:szCs w:val="24"/>
        </w:rPr>
      </w:pPr>
      <w:r w:rsidRPr="00C83483">
        <w:rPr>
          <w:rFonts w:ascii="Palatino Linotype" w:hAnsi="Palatino Linotype" w:cs="Arial"/>
          <w:sz w:val="24"/>
          <w:szCs w:val="24"/>
        </w:rPr>
        <w:t>En esa tesitura, es menester señalar que el Instituto Nacional de Transparencia y Acceso a la Información y Protección de Datos Personales, en el expediente RIA 82/18, establece que para acreditar la reserva de la información, es necesario actualizar cuatro requisitos, siendo estos los siguientes:</w:t>
      </w:r>
    </w:p>
    <w:p w:rsidR="00C83483" w:rsidRPr="00C83483" w:rsidRDefault="00C83483" w:rsidP="00E02A35">
      <w:pPr>
        <w:spacing w:before="240" w:after="240" w:line="360" w:lineRule="auto"/>
        <w:ind w:right="49"/>
        <w:contextualSpacing/>
        <w:jc w:val="both"/>
        <w:rPr>
          <w:rFonts w:ascii="Palatino Linotype" w:hAnsi="Palatino Linotype" w:cs="Arial"/>
          <w:sz w:val="24"/>
          <w:szCs w:val="24"/>
        </w:rPr>
      </w:pPr>
    </w:p>
    <w:p w:rsidR="00C83483" w:rsidRDefault="00C83483" w:rsidP="00E02A35">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C83483">
        <w:rPr>
          <w:rFonts w:ascii="Palatino Linotype" w:hAnsi="Palatino Linotype" w:cs="Arial"/>
          <w:sz w:val="24"/>
          <w:szCs w:val="24"/>
        </w:rPr>
        <w:t xml:space="preserve">Por lo que, únicamente al configurarse los mismos, es procedente la reserva de la información, si uno de los requisitos faltase, no será en ningún momento posible su reserva. </w:t>
      </w:r>
      <w:r w:rsidR="008005DA">
        <w:rPr>
          <w:rFonts w:ascii="Palatino Linotype" w:hAnsi="Palatino Linotype" w:cs="Arial"/>
          <w:sz w:val="24"/>
          <w:szCs w:val="24"/>
        </w:rPr>
        <w:t>Así d</w:t>
      </w:r>
      <w:r w:rsidRPr="00C83483">
        <w:rPr>
          <w:rFonts w:ascii="Palatino Linotype" w:hAnsi="Palatino Linotype" w:cs="Arial"/>
          <w:sz w:val="24"/>
          <w:szCs w:val="24"/>
        </w:rPr>
        <w:t>el expediente, objeto de mi presente voto particular, advierto que del estudio de la resolución dictada por la Ponencia Resolutora, se desprende que otorgó al Sujeto Obligado la posi</w:t>
      </w:r>
      <w:r w:rsidR="00DE2D8F">
        <w:rPr>
          <w:rFonts w:ascii="Palatino Linotype" w:hAnsi="Palatino Linotype" w:cs="Arial"/>
          <w:sz w:val="24"/>
          <w:szCs w:val="24"/>
        </w:rPr>
        <w:t>bilidad de reservar información, sin tener certeza o analizar las circunstancias que efectivamente pudieran soportar</w:t>
      </w:r>
      <w:r w:rsidR="008005DA">
        <w:rPr>
          <w:rFonts w:ascii="Palatino Linotype" w:hAnsi="Palatino Linotype" w:cs="Arial"/>
          <w:sz w:val="24"/>
          <w:szCs w:val="24"/>
        </w:rPr>
        <w:t xml:space="preserve">la. </w:t>
      </w:r>
      <w:r w:rsidR="00DE2D8F">
        <w:rPr>
          <w:rFonts w:ascii="Palatino Linotype" w:hAnsi="Palatino Linotype" w:cs="Arial"/>
          <w:sz w:val="24"/>
          <w:szCs w:val="24"/>
        </w:rPr>
        <w:t xml:space="preserve"> </w:t>
      </w:r>
    </w:p>
    <w:p w:rsidR="00DE2D8F" w:rsidRPr="00C83483" w:rsidRDefault="00DE2D8F" w:rsidP="00E02A35">
      <w:pPr>
        <w:spacing w:before="240" w:after="240" w:line="360" w:lineRule="auto"/>
        <w:ind w:right="49"/>
        <w:contextualSpacing/>
        <w:jc w:val="both"/>
        <w:rPr>
          <w:rFonts w:ascii="Palatino Linotype" w:hAnsi="Palatino Linotype" w:cs="Arial"/>
          <w:sz w:val="24"/>
          <w:szCs w:val="24"/>
        </w:rPr>
      </w:pPr>
    </w:p>
    <w:p w:rsidR="00C83483" w:rsidRPr="00C83483" w:rsidRDefault="00C83483" w:rsidP="00E02A35">
      <w:pPr>
        <w:numPr>
          <w:ilvl w:val="0"/>
          <w:numId w:val="1"/>
        </w:numPr>
        <w:spacing w:after="0" w:line="360" w:lineRule="auto"/>
        <w:ind w:left="0" w:right="49" w:firstLine="0"/>
        <w:contextualSpacing/>
        <w:jc w:val="both"/>
        <w:rPr>
          <w:rFonts w:ascii="Palatino Linotype" w:hAnsi="Palatino Linotype" w:cs="Arial"/>
          <w:sz w:val="24"/>
          <w:szCs w:val="24"/>
        </w:rPr>
      </w:pPr>
      <w:r w:rsidRPr="00C83483">
        <w:rPr>
          <w:rFonts w:ascii="Palatino Linotype" w:hAnsi="Palatino Linotype" w:cs="Arial"/>
          <w:sz w:val="24"/>
          <w:szCs w:val="24"/>
        </w:rPr>
        <w:t xml:space="preserve">Es imprescriptible señalar que en el presente año, este Órgano Resolutor ha sido sometido a un estricto control por parte del Instituto Nacional de Transparencia, Acceso a la Información y Protección de Datos Personales (INAI), como resultado de los Recursos de Inconformidad </w:t>
      </w:r>
      <w:r w:rsidRPr="00C83483">
        <w:rPr>
          <w:rFonts w:ascii="Palatino Linotype" w:hAnsi="Palatino Linotype" w:cs="Arial"/>
          <w:sz w:val="24"/>
          <w:szCs w:val="24"/>
          <w:lang w:eastAsia="es-MX"/>
        </w:rPr>
        <w:t>069/18 y RIA 082/18</w:t>
      </w:r>
      <w:r w:rsidRPr="00C83483">
        <w:rPr>
          <w:rFonts w:ascii="Palatino Linotype" w:hAnsi="Palatino Linotype" w:cs="Arial"/>
          <w:sz w:val="24"/>
          <w:szCs w:val="24"/>
        </w:rPr>
        <w:t xml:space="preserve">, en los que </w:t>
      </w:r>
      <w:r w:rsidRPr="00C83483">
        <w:rPr>
          <w:rFonts w:ascii="Palatino Linotype" w:hAnsi="Palatino Linotype" w:cs="Arial"/>
          <w:sz w:val="24"/>
          <w:szCs w:val="24"/>
        </w:rPr>
        <w:lastRenderedPageBreak/>
        <w:t xml:space="preserve">el Órgano Garante Nacional, puntualmente dirigió a este Órgano Garante local, que para invocar la causal de reserva, se deben de agotar todos y cada uno de los requisitos. </w:t>
      </w:r>
    </w:p>
    <w:p w:rsidR="00C83483" w:rsidRPr="00C83483" w:rsidRDefault="00C83483" w:rsidP="00E02A35">
      <w:pPr>
        <w:spacing w:line="360" w:lineRule="auto"/>
        <w:ind w:right="49"/>
        <w:contextualSpacing/>
        <w:jc w:val="both"/>
        <w:rPr>
          <w:rFonts w:ascii="Palatino Linotype" w:hAnsi="Palatino Linotype" w:cs="Arial"/>
          <w:sz w:val="24"/>
          <w:szCs w:val="24"/>
        </w:rPr>
      </w:pPr>
    </w:p>
    <w:p w:rsidR="00C83483" w:rsidRPr="00C83483" w:rsidRDefault="00C83483" w:rsidP="00E02A35">
      <w:pPr>
        <w:numPr>
          <w:ilvl w:val="0"/>
          <w:numId w:val="1"/>
        </w:numPr>
        <w:spacing w:after="0" w:line="360" w:lineRule="auto"/>
        <w:ind w:left="0" w:right="49" w:firstLine="0"/>
        <w:contextualSpacing/>
        <w:jc w:val="both"/>
        <w:rPr>
          <w:rFonts w:ascii="Palatino Linotype" w:hAnsi="Palatino Linotype" w:cs="Arial"/>
          <w:sz w:val="24"/>
          <w:szCs w:val="24"/>
        </w:rPr>
      </w:pPr>
      <w:r w:rsidRPr="00C83483">
        <w:rPr>
          <w:rFonts w:ascii="Palatino Linotype" w:hAnsi="Palatino Linotype" w:cs="Arial"/>
          <w:sz w:val="24"/>
          <w:szCs w:val="24"/>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p>
    <w:p w:rsidR="00C83483" w:rsidRPr="00C83483" w:rsidRDefault="00C83483" w:rsidP="00E02A35">
      <w:pPr>
        <w:spacing w:line="360" w:lineRule="auto"/>
        <w:ind w:right="49"/>
        <w:contextualSpacing/>
        <w:jc w:val="both"/>
        <w:rPr>
          <w:rFonts w:ascii="Palatino Linotype" w:hAnsi="Palatino Linotype" w:cs="Arial"/>
          <w:sz w:val="24"/>
          <w:szCs w:val="24"/>
        </w:rPr>
      </w:pPr>
    </w:p>
    <w:p w:rsidR="00C83483" w:rsidRPr="00C83483" w:rsidRDefault="00C83483" w:rsidP="00E02A35">
      <w:pPr>
        <w:numPr>
          <w:ilvl w:val="0"/>
          <w:numId w:val="1"/>
        </w:numPr>
        <w:spacing w:after="0" w:line="360" w:lineRule="auto"/>
        <w:ind w:left="0" w:right="49" w:firstLine="0"/>
        <w:contextualSpacing/>
        <w:jc w:val="both"/>
        <w:rPr>
          <w:rFonts w:ascii="Palatino Linotype" w:hAnsi="Palatino Linotype" w:cs="Arial"/>
          <w:sz w:val="24"/>
          <w:szCs w:val="24"/>
        </w:rPr>
      </w:pPr>
      <w:r w:rsidRPr="00C83483">
        <w:rPr>
          <w:rFonts w:ascii="Palatino Linotype" w:hAnsi="Palatino Linotype" w:cs="Arial"/>
          <w:sz w:val="24"/>
          <w:szCs w:val="24"/>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C83483" w:rsidRPr="00C83483" w:rsidRDefault="00C83483" w:rsidP="00E02A35">
      <w:pPr>
        <w:spacing w:line="360" w:lineRule="auto"/>
        <w:ind w:left="720"/>
        <w:contextualSpacing/>
        <w:rPr>
          <w:rFonts w:ascii="Palatino Linotype" w:hAnsi="Palatino Linotype" w:cs="Arial"/>
          <w:sz w:val="24"/>
          <w:szCs w:val="24"/>
        </w:rPr>
      </w:pPr>
    </w:p>
    <w:p w:rsidR="00C83483" w:rsidRPr="00C83483" w:rsidRDefault="00C83483" w:rsidP="00E02A35">
      <w:pPr>
        <w:numPr>
          <w:ilvl w:val="0"/>
          <w:numId w:val="1"/>
        </w:numPr>
        <w:spacing w:after="0" w:line="360" w:lineRule="auto"/>
        <w:ind w:left="0" w:right="49" w:firstLine="0"/>
        <w:contextualSpacing/>
        <w:jc w:val="both"/>
        <w:rPr>
          <w:rFonts w:ascii="Palatino Linotype" w:hAnsi="Palatino Linotype" w:cs="Arial"/>
          <w:sz w:val="24"/>
          <w:szCs w:val="24"/>
        </w:rPr>
      </w:pPr>
      <w:r w:rsidRPr="00C83483">
        <w:rPr>
          <w:rFonts w:ascii="Palatino Linotype" w:hAnsi="Palatino Linotype" w:cs="Arial"/>
          <w:sz w:val="24"/>
          <w:szCs w:val="24"/>
        </w:rPr>
        <w:t xml:space="preserve"> Por tanto, al tratar directamente con un derecho humano, todas las autoridades nos vemos impuestas del supremo mandato constitucional consistente en la promoción, respeto, protección y </w:t>
      </w:r>
      <w:r w:rsidRPr="00C83483">
        <w:rPr>
          <w:rFonts w:ascii="Palatino Linotype" w:hAnsi="Palatino Linotype" w:cs="Arial"/>
          <w:b/>
          <w:sz w:val="24"/>
          <w:szCs w:val="24"/>
        </w:rPr>
        <w:t>garantía de los derechos humanos</w:t>
      </w:r>
      <w:r w:rsidRPr="00C83483">
        <w:rPr>
          <w:rFonts w:ascii="Palatino Linotype" w:hAnsi="Palatino Linotype" w:cs="Arial"/>
          <w:sz w:val="24"/>
          <w:szCs w:val="24"/>
        </w:rPr>
        <w:t xml:space="preserve">, de tal </w:t>
      </w:r>
      <w:r w:rsidRPr="00C83483">
        <w:rPr>
          <w:rFonts w:ascii="Palatino Linotype" w:hAnsi="Palatino Linotype" w:cs="Arial"/>
          <w:sz w:val="24"/>
          <w:szCs w:val="24"/>
        </w:rPr>
        <w:lastRenderedPageBreak/>
        <w:t>forma que cualquier esfuerzo que se haga en el sentido de cumplir con dicho mandato no resulta ocioso ni sobra sino demuestra el grado de compromiso de la autoridad con este aspecto toral de la reforma constitucional del 10 de junio de 2011.</w:t>
      </w:r>
    </w:p>
    <w:p w:rsidR="00C83483" w:rsidRPr="00C83483" w:rsidRDefault="00C83483" w:rsidP="00E02A35">
      <w:pPr>
        <w:spacing w:before="240" w:after="240" w:line="360" w:lineRule="auto"/>
        <w:ind w:right="49"/>
        <w:contextualSpacing/>
        <w:jc w:val="both"/>
        <w:rPr>
          <w:rFonts w:ascii="Palatino Linotype" w:hAnsi="Palatino Linotype" w:cs="Arial"/>
          <w:sz w:val="24"/>
          <w:szCs w:val="24"/>
        </w:rPr>
      </w:pPr>
    </w:p>
    <w:p w:rsidR="00C83483" w:rsidRPr="00C83483" w:rsidRDefault="00C83483" w:rsidP="00E02A35">
      <w:pPr>
        <w:numPr>
          <w:ilvl w:val="0"/>
          <w:numId w:val="1"/>
        </w:numPr>
        <w:spacing w:after="0" w:line="360" w:lineRule="auto"/>
        <w:ind w:left="0" w:firstLine="0"/>
        <w:contextualSpacing/>
        <w:jc w:val="both"/>
        <w:rPr>
          <w:rFonts w:ascii="Palatino Linotype" w:hAnsi="Palatino Linotype" w:cs="Arial"/>
          <w:sz w:val="24"/>
          <w:szCs w:val="24"/>
        </w:rPr>
      </w:pPr>
      <w:r w:rsidRPr="00C83483">
        <w:rPr>
          <w:rFonts w:ascii="Palatino Linotype" w:hAnsi="Palatino Linotype" w:cs="Arial"/>
          <w:sz w:val="24"/>
          <w:szCs w:val="24"/>
        </w:rPr>
        <w:t xml:space="preserve">En este sentido el Dr. Miguel Carbonell ha señalado que: “Queda claro, en consecuencia, que las obligaciones de promoción, respeto, protección y garantía de los derechos corren a cargo de todos los poderes, incluso </w:t>
      </w:r>
      <w:r w:rsidRPr="00C83483">
        <w:rPr>
          <w:rFonts w:ascii="Palatino Linotype" w:hAnsi="Palatino Linotype" w:cs="Arial"/>
          <w:b/>
          <w:sz w:val="24"/>
          <w:szCs w:val="24"/>
        </w:rPr>
        <w:t>considerando que algún nivel de gobierno tenga obligaciones reforzadas hacia ciertos derechos.</w:t>
      </w:r>
      <w:r w:rsidRPr="00C83483">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C83483">
        <w:rPr>
          <w:rFonts w:ascii="Palatino Linotype" w:hAnsi="Palatino Linotype" w:cs="Arial"/>
          <w:b/>
          <w:sz w:val="24"/>
          <w:szCs w:val="24"/>
        </w:rPr>
        <w:t>tomar todas las medidas que sean pertinentes para tutelar y hacer eficaz un derecho</w:t>
      </w:r>
      <w:r w:rsidRPr="00C83483">
        <w:rPr>
          <w:rFonts w:ascii="Palatino Linotype" w:hAnsi="Palatino Linotype" w:cs="Arial"/>
          <w:sz w:val="24"/>
          <w:szCs w:val="24"/>
        </w:rPr>
        <w:t>”.</w:t>
      </w:r>
      <w:r w:rsidRPr="00C83483">
        <w:rPr>
          <w:rFonts w:ascii="Palatino Linotype" w:hAnsi="Palatino Linotype" w:cs="Arial"/>
          <w:sz w:val="24"/>
          <w:szCs w:val="24"/>
          <w:vertAlign w:val="superscript"/>
        </w:rPr>
        <w:footnoteReference w:id="1"/>
      </w:r>
    </w:p>
    <w:p w:rsidR="00C83483" w:rsidRPr="00C83483" w:rsidRDefault="00C83483" w:rsidP="00E02A35">
      <w:pPr>
        <w:spacing w:line="360" w:lineRule="auto"/>
        <w:contextualSpacing/>
        <w:jc w:val="both"/>
        <w:rPr>
          <w:rFonts w:ascii="Palatino Linotype" w:hAnsi="Palatino Linotype" w:cs="Arial"/>
          <w:sz w:val="24"/>
          <w:szCs w:val="24"/>
        </w:rPr>
      </w:pPr>
    </w:p>
    <w:p w:rsidR="00C83483" w:rsidRDefault="00C83483" w:rsidP="00E02A35">
      <w:pPr>
        <w:numPr>
          <w:ilvl w:val="0"/>
          <w:numId w:val="1"/>
        </w:numPr>
        <w:spacing w:after="0" w:line="360" w:lineRule="auto"/>
        <w:ind w:left="0" w:firstLine="0"/>
        <w:contextualSpacing/>
        <w:jc w:val="both"/>
        <w:rPr>
          <w:rFonts w:ascii="Palatino Linotype" w:hAnsi="Palatino Linotype" w:cs="Arial"/>
          <w:sz w:val="24"/>
          <w:szCs w:val="24"/>
        </w:rPr>
      </w:pPr>
      <w:r w:rsidRPr="00C83483">
        <w:rPr>
          <w:rFonts w:ascii="Palatino Linotype" w:hAnsi="Palatino Linotype" w:cs="Arial"/>
          <w:sz w:val="24"/>
          <w:szCs w:val="24"/>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E02A35" w:rsidRDefault="00E02A35" w:rsidP="00E02A35">
      <w:pPr>
        <w:pStyle w:val="Prrafodelista"/>
        <w:spacing w:line="360" w:lineRule="auto"/>
        <w:rPr>
          <w:rFonts w:ascii="Palatino Linotype" w:hAnsi="Palatino Linotype" w:cs="Arial"/>
          <w:sz w:val="24"/>
          <w:szCs w:val="24"/>
        </w:rPr>
      </w:pPr>
    </w:p>
    <w:p w:rsidR="00E02A35" w:rsidRPr="00E02A35" w:rsidRDefault="00E02A35" w:rsidP="00E02A35">
      <w:pPr>
        <w:spacing w:after="0" w:line="360" w:lineRule="auto"/>
        <w:contextualSpacing/>
        <w:jc w:val="both"/>
        <w:rPr>
          <w:rFonts w:ascii="Palatino Linotype" w:hAnsi="Palatino Linotype" w:cs="Arial"/>
          <w:sz w:val="24"/>
          <w:szCs w:val="24"/>
        </w:rPr>
      </w:pPr>
    </w:p>
    <w:p w:rsidR="00C83483" w:rsidRPr="00C83483" w:rsidRDefault="00C83483" w:rsidP="00E02A35">
      <w:pPr>
        <w:spacing w:line="360" w:lineRule="auto"/>
        <w:ind w:left="567" w:right="616"/>
        <w:contextualSpacing/>
        <w:jc w:val="both"/>
        <w:rPr>
          <w:rFonts w:ascii="Palatino Linotype" w:hAnsi="Palatino Linotype" w:cs="Arial"/>
          <w:i/>
        </w:rPr>
      </w:pPr>
      <w:r w:rsidRPr="00C83483">
        <w:rPr>
          <w:rFonts w:ascii="Palatino Linotype" w:hAnsi="Palatino Linotype" w:cs="Arial"/>
          <w:i/>
        </w:rPr>
        <w:t>“Artículo 185. El instituto resolverá el recurso de revisión conforme a lo siguiente:</w:t>
      </w:r>
    </w:p>
    <w:p w:rsidR="00C83483" w:rsidRPr="00C83483" w:rsidRDefault="00C83483" w:rsidP="00E02A35">
      <w:pPr>
        <w:spacing w:line="360" w:lineRule="auto"/>
        <w:ind w:left="567" w:right="616"/>
        <w:contextualSpacing/>
        <w:jc w:val="both"/>
        <w:rPr>
          <w:rFonts w:ascii="Palatino Linotype" w:hAnsi="Palatino Linotype" w:cs="Arial"/>
          <w:i/>
        </w:rPr>
      </w:pPr>
      <w:r w:rsidRPr="00C83483">
        <w:rPr>
          <w:rFonts w:ascii="Palatino Linotype" w:hAnsi="Palatino Linotype" w:cs="Arial"/>
          <w:i/>
        </w:rPr>
        <w:lastRenderedPageBreak/>
        <w:t xml:space="preserve">(…) </w:t>
      </w:r>
    </w:p>
    <w:p w:rsidR="00C83483" w:rsidRPr="00C83483" w:rsidRDefault="00C83483" w:rsidP="00E02A35">
      <w:pPr>
        <w:spacing w:line="360" w:lineRule="auto"/>
        <w:ind w:left="567" w:right="616"/>
        <w:contextualSpacing/>
        <w:jc w:val="both"/>
        <w:rPr>
          <w:rFonts w:ascii="Palatino Linotype" w:hAnsi="Palatino Linotype" w:cs="Arial"/>
          <w:i/>
        </w:rPr>
      </w:pPr>
      <w:r w:rsidRPr="00C83483">
        <w:rPr>
          <w:rFonts w:ascii="Palatino Linotype" w:hAnsi="Palatino Linotype" w:cs="Arial"/>
          <w:i/>
        </w:rPr>
        <w:t xml:space="preserve">V. La o el Comisionado ponente podrá determinar la celebración de audiencias con las partes durante la sustanciación del proceso. </w:t>
      </w:r>
    </w:p>
    <w:p w:rsidR="00C83483" w:rsidRDefault="00C83483" w:rsidP="00E02A35">
      <w:pPr>
        <w:spacing w:line="360" w:lineRule="auto"/>
        <w:ind w:left="567" w:right="616"/>
        <w:contextualSpacing/>
        <w:jc w:val="both"/>
        <w:rPr>
          <w:rFonts w:ascii="Palatino Linotype" w:hAnsi="Palatino Linotype" w:cs="Arial"/>
          <w:i/>
        </w:rPr>
      </w:pPr>
      <w:r w:rsidRPr="00C83483">
        <w:rPr>
          <w:rFonts w:ascii="Palatino Linotype" w:hAnsi="Palatino Linotype" w:cs="Arial"/>
          <w:i/>
        </w:rPr>
        <w:t>(…) “</w:t>
      </w:r>
    </w:p>
    <w:p w:rsidR="00A07930" w:rsidRPr="00C83483" w:rsidRDefault="00A07930" w:rsidP="00E02A35">
      <w:pPr>
        <w:spacing w:line="360" w:lineRule="auto"/>
        <w:ind w:left="567" w:right="616"/>
        <w:contextualSpacing/>
        <w:jc w:val="both"/>
        <w:rPr>
          <w:rFonts w:ascii="Palatino Linotype" w:hAnsi="Palatino Linotype" w:cs="Arial"/>
          <w:i/>
        </w:rPr>
      </w:pPr>
    </w:p>
    <w:p w:rsidR="00C83483" w:rsidRPr="008005DA" w:rsidRDefault="00C83483" w:rsidP="00E02A35">
      <w:pPr>
        <w:numPr>
          <w:ilvl w:val="0"/>
          <w:numId w:val="1"/>
        </w:numPr>
        <w:spacing w:after="0" w:line="360" w:lineRule="auto"/>
        <w:ind w:left="0" w:firstLine="0"/>
        <w:contextualSpacing/>
        <w:jc w:val="both"/>
        <w:rPr>
          <w:rFonts w:ascii="Palatino Linotype" w:hAnsi="Palatino Linotype" w:cs="Arial"/>
          <w:sz w:val="24"/>
          <w:szCs w:val="24"/>
        </w:rPr>
      </w:pPr>
      <w:r w:rsidRPr="00C83483">
        <w:rPr>
          <w:rFonts w:ascii="Palatino Linotype" w:hAnsi="Palatino Linotype" w:cs="Arial"/>
          <w:sz w:val="24"/>
          <w:szCs w:val="24"/>
        </w:rPr>
        <w:t xml:space="preserve">En relación con lo anterior, considero que la Ponencia Resolutora –insisto–, debió de pronunciarse sobre la naturaleza de lo requerido sin ningún tipo de ambigüedad; es decir, tuvo que determinar si la información tenía el carácter de reserva o no, sin dejarlo al arbitrio del sujeto obligado,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 </w:t>
      </w:r>
    </w:p>
    <w:p w:rsidR="00234AF5" w:rsidRPr="00427B79" w:rsidRDefault="008005DA" w:rsidP="00E02A35">
      <w:pPr>
        <w:pStyle w:val="Ttulo1"/>
        <w:spacing w:line="360" w:lineRule="auto"/>
        <w:rPr>
          <w:rFonts w:eastAsia="Calibri" w:cs="Arial"/>
          <w:szCs w:val="24"/>
        </w:rPr>
      </w:pPr>
      <w:bookmarkStart w:id="8" w:name="_Toc8236632"/>
      <w:r>
        <w:rPr>
          <w:rFonts w:eastAsia="Calibri"/>
          <w:color w:val="auto"/>
          <w:szCs w:val="24"/>
        </w:rPr>
        <w:t>VI</w:t>
      </w:r>
      <w:r w:rsidR="00FB5F09">
        <w:rPr>
          <w:rFonts w:eastAsia="Calibri"/>
          <w:color w:val="auto"/>
          <w:szCs w:val="24"/>
        </w:rPr>
        <w:t>I</w:t>
      </w:r>
      <w:r>
        <w:rPr>
          <w:rFonts w:eastAsia="Calibri"/>
          <w:color w:val="auto"/>
          <w:szCs w:val="24"/>
        </w:rPr>
        <w:t xml:space="preserve">. </w:t>
      </w:r>
      <w:r w:rsidR="00234AF5" w:rsidRPr="0083488C">
        <w:rPr>
          <w:rFonts w:eastAsia="Calibri"/>
          <w:color w:val="auto"/>
          <w:szCs w:val="24"/>
        </w:rPr>
        <w:t>Conclusión.</w:t>
      </w:r>
      <w:bookmarkEnd w:id="8"/>
      <w:r w:rsidR="00234AF5" w:rsidRPr="00427B79">
        <w:rPr>
          <w:rFonts w:eastAsia="Calibri" w:cs="Arial"/>
          <w:szCs w:val="24"/>
        </w:rPr>
        <w:t xml:space="preserve"> </w:t>
      </w:r>
    </w:p>
    <w:p w:rsidR="00234AF5" w:rsidRDefault="00234AF5" w:rsidP="00E02A35">
      <w:pPr>
        <w:spacing w:line="360" w:lineRule="auto"/>
        <w:contextualSpacing/>
        <w:jc w:val="both"/>
        <w:rPr>
          <w:rFonts w:ascii="Palatino Linotype" w:eastAsia="Calibri" w:hAnsi="Palatino Linotype" w:cs="Arial"/>
          <w:sz w:val="24"/>
          <w:szCs w:val="24"/>
        </w:rPr>
      </w:pPr>
    </w:p>
    <w:p w:rsidR="008005DA" w:rsidRPr="008005DA" w:rsidRDefault="008005DA" w:rsidP="00E02A35">
      <w:pPr>
        <w:numPr>
          <w:ilvl w:val="0"/>
          <w:numId w:val="1"/>
        </w:numPr>
        <w:spacing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Ahora bien, por lo que hace a este caso en particular y amanera de conclusión considero por una parte que </w:t>
      </w:r>
      <w:r w:rsidR="00E6179D" w:rsidRPr="00427B79">
        <w:rPr>
          <w:rFonts w:ascii="Palatino Linotype" w:eastAsia="Calibri" w:hAnsi="Palatino Linotype" w:cs="Arial"/>
          <w:sz w:val="24"/>
          <w:szCs w:val="24"/>
        </w:rPr>
        <w:t>e</w:t>
      </w:r>
      <w:r>
        <w:rPr>
          <w:rFonts w:ascii="Palatino Linotype" w:eastAsia="Calibri" w:hAnsi="Palatino Linotype" w:cs="Arial"/>
          <w:sz w:val="24"/>
          <w:szCs w:val="24"/>
        </w:rPr>
        <w:t>n</w:t>
      </w:r>
      <w:r w:rsidR="00E6179D" w:rsidRPr="00427B79">
        <w:rPr>
          <w:rFonts w:ascii="Palatino Linotype" w:eastAsia="Calibri" w:hAnsi="Palatino Linotype" w:cs="Arial"/>
          <w:sz w:val="24"/>
          <w:szCs w:val="24"/>
        </w:rPr>
        <w:t xml:space="preserve"> en los casos que el Sujeto Obligado emita un pronunciamiento simple este debe estar debidamente fundado y motivado </w:t>
      </w:r>
      <w:r w:rsidR="00E6179D" w:rsidRPr="00427B79">
        <w:rPr>
          <w:rFonts w:ascii="Palatino Linotype" w:eastAsia="Calibri" w:hAnsi="Palatino Linotype" w:cs="Arial"/>
          <w:sz w:val="24"/>
          <w:szCs w:val="24"/>
        </w:rPr>
        <w:lastRenderedPageBreak/>
        <w:t>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w:t>
      </w:r>
      <w:r>
        <w:rPr>
          <w:rFonts w:ascii="Palatino Linotype" w:eastAsia="Calibri" w:hAnsi="Palatino Linotype" w:cs="Arial"/>
          <w:sz w:val="24"/>
          <w:szCs w:val="24"/>
        </w:rPr>
        <w:t xml:space="preserve"> parte de los Sujetos Obligados.</w:t>
      </w:r>
    </w:p>
    <w:p w:rsidR="004A6C81" w:rsidRPr="00E02A35" w:rsidRDefault="008005DA" w:rsidP="00E02A35">
      <w:pPr>
        <w:pStyle w:val="Prrafodelista"/>
        <w:widowControl w:val="0"/>
        <w:numPr>
          <w:ilvl w:val="0"/>
          <w:numId w:val="7"/>
        </w:numPr>
        <w:tabs>
          <w:tab w:val="left" w:pos="426"/>
        </w:tabs>
        <w:autoSpaceDE w:val="0"/>
        <w:autoSpaceDN w:val="0"/>
        <w:adjustRightInd w:val="0"/>
        <w:spacing w:after="0" w:line="360" w:lineRule="auto"/>
        <w:ind w:left="0" w:right="49" w:firstLine="0"/>
        <w:contextualSpacing w:val="0"/>
        <w:jc w:val="both"/>
        <w:rPr>
          <w:rFonts w:ascii="Palatino Linotype" w:eastAsia="Calibri" w:hAnsi="Palatino Linotype" w:cs="Arial"/>
          <w:sz w:val="24"/>
          <w:szCs w:val="24"/>
        </w:rPr>
      </w:pPr>
      <w:r>
        <w:rPr>
          <w:rFonts w:ascii="Palatino Linotype" w:eastAsia="Calibri" w:hAnsi="Palatino Linotype" w:cs="Arial"/>
          <w:sz w:val="24"/>
          <w:szCs w:val="24"/>
        </w:rPr>
        <w:t xml:space="preserve">Y por la otra que </w:t>
      </w:r>
      <w:r w:rsidRPr="008005DA">
        <w:rPr>
          <w:rFonts w:ascii="Palatino Linotype" w:hAnsi="Palatino Linotype" w:cs="Arial"/>
          <w:sz w:val="24"/>
          <w:szCs w:val="24"/>
        </w:rPr>
        <w:t>no</w:t>
      </w:r>
      <w:r w:rsidR="00CB3A8E">
        <w:rPr>
          <w:rFonts w:ascii="Palatino Linotype" w:hAnsi="Palatino Linotype" w:cs="Arial"/>
          <w:sz w:val="24"/>
          <w:szCs w:val="24"/>
        </w:rPr>
        <w:t xml:space="preserve"> se</w:t>
      </w:r>
      <w:r w:rsidRPr="008005DA">
        <w:rPr>
          <w:rFonts w:ascii="Palatino Linotype" w:hAnsi="Palatino Linotype" w:cs="Arial"/>
          <w:sz w:val="24"/>
          <w:szCs w:val="24"/>
        </w:rPr>
        <w:t xml:space="preserve"> debió dejar</w:t>
      </w:r>
      <w:r w:rsidR="00CB3A8E">
        <w:rPr>
          <w:rFonts w:ascii="Palatino Linotype" w:hAnsi="Palatino Linotype" w:cs="Arial"/>
          <w:sz w:val="24"/>
          <w:szCs w:val="24"/>
        </w:rPr>
        <w:t xml:space="preserve"> </w:t>
      </w:r>
      <w:r w:rsidR="008673E0">
        <w:rPr>
          <w:rFonts w:ascii="Palatino Linotype" w:hAnsi="Palatino Linotype" w:cs="Arial"/>
          <w:sz w:val="24"/>
          <w:szCs w:val="24"/>
        </w:rPr>
        <w:t xml:space="preserve">a criterio del Sujeto Obligado la clasificación de la información teniendo en consideración la facultad de este Órgano Garante para llevar a acabo audiencias </w:t>
      </w:r>
      <w:r w:rsidR="00483F14">
        <w:rPr>
          <w:rFonts w:ascii="Palatino Linotype" w:hAnsi="Palatino Linotype" w:cs="Arial"/>
          <w:sz w:val="24"/>
          <w:szCs w:val="24"/>
        </w:rPr>
        <w:t xml:space="preserve">a efecto </w:t>
      </w:r>
      <w:r w:rsidR="008673E0">
        <w:rPr>
          <w:rFonts w:ascii="Palatino Linotype" w:hAnsi="Palatino Linotype" w:cs="Arial"/>
          <w:sz w:val="24"/>
          <w:szCs w:val="24"/>
        </w:rPr>
        <w:t>sustanciar el procedimiento adecuadamente,</w:t>
      </w:r>
      <w:r w:rsidR="00483F14">
        <w:rPr>
          <w:rFonts w:ascii="Palatino Linotype" w:hAnsi="Palatino Linotype" w:cs="Arial"/>
          <w:sz w:val="24"/>
          <w:szCs w:val="24"/>
        </w:rPr>
        <w:t xml:space="preserve"> </w:t>
      </w:r>
      <w:r w:rsidR="008673E0">
        <w:rPr>
          <w:rFonts w:ascii="Palatino Linotype" w:hAnsi="Palatino Linotype" w:cs="Arial"/>
          <w:sz w:val="24"/>
          <w:szCs w:val="24"/>
        </w:rPr>
        <w:t xml:space="preserve">así actuar </w:t>
      </w:r>
      <w:r w:rsidRPr="008005DA">
        <w:rPr>
          <w:rFonts w:ascii="Palatino Linotype" w:hAnsi="Palatino Linotype"/>
          <w:color w:val="000000" w:themeColor="text1"/>
          <w:sz w:val="24"/>
          <w:szCs w:val="24"/>
        </w:rPr>
        <w:t>como se propone en la resolución resulta una car</w:t>
      </w:r>
      <w:r w:rsidR="008673E0">
        <w:rPr>
          <w:rFonts w:ascii="Palatino Linotype" w:hAnsi="Palatino Linotype"/>
          <w:color w:val="000000" w:themeColor="text1"/>
          <w:sz w:val="24"/>
          <w:szCs w:val="24"/>
        </w:rPr>
        <w:t xml:space="preserve">ga desproporcionada que limita el </w:t>
      </w:r>
      <w:r w:rsidRPr="008005DA">
        <w:rPr>
          <w:rFonts w:ascii="Palatino Linotype" w:hAnsi="Palatino Linotype"/>
          <w:color w:val="000000" w:themeColor="text1"/>
          <w:sz w:val="24"/>
          <w:szCs w:val="24"/>
        </w:rPr>
        <w:t>derecho</w:t>
      </w:r>
      <w:r w:rsidR="008673E0">
        <w:rPr>
          <w:rFonts w:ascii="Palatino Linotype" w:hAnsi="Palatino Linotype"/>
          <w:color w:val="000000" w:themeColor="text1"/>
          <w:sz w:val="24"/>
          <w:szCs w:val="24"/>
        </w:rPr>
        <w:t xml:space="preserve"> del particular</w:t>
      </w:r>
      <w:r w:rsidRPr="008005DA">
        <w:rPr>
          <w:rFonts w:ascii="Palatino Linotype" w:hAnsi="Palatino Linotype"/>
          <w:color w:val="000000" w:themeColor="text1"/>
          <w:sz w:val="24"/>
          <w:szCs w:val="24"/>
        </w:rPr>
        <w:t>, afecta el ejercicio de control p</w:t>
      </w:r>
      <w:r w:rsidR="008673E0">
        <w:rPr>
          <w:rFonts w:ascii="Palatino Linotype" w:hAnsi="Palatino Linotype"/>
          <w:color w:val="000000" w:themeColor="text1"/>
          <w:sz w:val="24"/>
          <w:szCs w:val="24"/>
        </w:rPr>
        <w:t>opular de los actos de gobierno y</w:t>
      </w:r>
      <w:r w:rsidRPr="008005DA">
        <w:rPr>
          <w:rFonts w:ascii="Palatino Linotype" w:hAnsi="Palatino Linotype"/>
          <w:color w:val="000000" w:themeColor="text1"/>
          <w:sz w:val="24"/>
          <w:szCs w:val="24"/>
        </w:rPr>
        <w:t xml:space="preserve"> debil</w:t>
      </w:r>
      <w:r w:rsidR="008673E0">
        <w:rPr>
          <w:rFonts w:ascii="Palatino Linotype" w:hAnsi="Palatino Linotype"/>
          <w:color w:val="000000" w:themeColor="text1"/>
          <w:sz w:val="24"/>
          <w:szCs w:val="24"/>
        </w:rPr>
        <w:t>ita el debate público informado.</w:t>
      </w:r>
    </w:p>
    <w:p w:rsidR="00E02A35" w:rsidRDefault="00E02A35" w:rsidP="00E02A35">
      <w:pPr>
        <w:widowControl w:val="0"/>
        <w:tabs>
          <w:tab w:val="left" w:pos="426"/>
        </w:tabs>
        <w:autoSpaceDE w:val="0"/>
        <w:autoSpaceDN w:val="0"/>
        <w:adjustRightInd w:val="0"/>
        <w:spacing w:after="0" w:line="360" w:lineRule="auto"/>
        <w:ind w:right="49"/>
        <w:jc w:val="both"/>
        <w:rPr>
          <w:rFonts w:ascii="Palatino Linotype" w:eastAsia="Calibri" w:hAnsi="Palatino Linotype" w:cs="Arial"/>
          <w:sz w:val="24"/>
          <w:szCs w:val="24"/>
        </w:rPr>
      </w:pPr>
    </w:p>
    <w:p w:rsidR="00E02A35" w:rsidRPr="00E02A35" w:rsidRDefault="00E02A35" w:rsidP="00E02A35">
      <w:pPr>
        <w:widowControl w:val="0"/>
        <w:tabs>
          <w:tab w:val="left" w:pos="426"/>
        </w:tabs>
        <w:autoSpaceDE w:val="0"/>
        <w:autoSpaceDN w:val="0"/>
        <w:adjustRightInd w:val="0"/>
        <w:spacing w:after="0" w:line="360" w:lineRule="auto"/>
        <w:ind w:right="49"/>
        <w:jc w:val="both"/>
        <w:rPr>
          <w:rFonts w:ascii="Palatino Linotype" w:eastAsia="Calibri" w:hAnsi="Palatino Linotype" w:cs="Arial"/>
          <w:sz w:val="24"/>
          <w:szCs w:val="24"/>
        </w:rPr>
      </w:pPr>
    </w:p>
    <w:p w:rsidR="00DE6F8B" w:rsidRPr="00427B79" w:rsidRDefault="00DE6F8B" w:rsidP="00E02A35">
      <w:pPr>
        <w:spacing w:after="0" w:line="360" w:lineRule="auto"/>
        <w:rPr>
          <w:rFonts w:ascii="Palatino Linotype" w:hAnsi="Palatino Linotype" w:cs="Arial"/>
          <w:color w:val="000000" w:themeColor="text1"/>
          <w:sz w:val="24"/>
          <w:szCs w:val="24"/>
        </w:rPr>
      </w:pPr>
    </w:p>
    <w:p w:rsidR="003855C9" w:rsidRPr="00427B79" w:rsidRDefault="00C602B8" w:rsidP="00E02A35">
      <w:pPr>
        <w:tabs>
          <w:tab w:val="center" w:pos="4419"/>
          <w:tab w:val="right" w:pos="8838"/>
        </w:tabs>
        <w:spacing w:after="0"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FB5F09" w:rsidRDefault="003855C9" w:rsidP="00E02A35">
      <w:pPr>
        <w:spacing w:after="0"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4A6C81" w:rsidRDefault="004A6C81" w:rsidP="00E02A35">
      <w:pPr>
        <w:spacing w:after="0" w:line="360" w:lineRule="auto"/>
        <w:jc w:val="center"/>
        <w:rPr>
          <w:rFonts w:ascii="Palatino Linotype" w:eastAsia="Arial" w:hAnsi="Palatino Linotype" w:cs="Arial"/>
          <w:b/>
          <w:color w:val="000000" w:themeColor="text1"/>
          <w:sz w:val="24"/>
          <w:szCs w:val="24"/>
          <w:lang w:eastAsia="es-MX"/>
        </w:rPr>
      </w:pPr>
    </w:p>
    <w:p w:rsidR="00483F14" w:rsidRDefault="00483F14" w:rsidP="00E02A35">
      <w:pPr>
        <w:spacing w:after="0" w:line="360" w:lineRule="auto"/>
        <w:jc w:val="center"/>
        <w:rPr>
          <w:rFonts w:ascii="Palatino Linotype" w:eastAsia="Arial" w:hAnsi="Palatino Linotype" w:cs="Arial"/>
          <w:b/>
          <w:color w:val="000000" w:themeColor="text1"/>
          <w:sz w:val="24"/>
          <w:szCs w:val="24"/>
          <w:lang w:eastAsia="es-MX"/>
        </w:rPr>
      </w:pPr>
    </w:p>
    <w:p w:rsidR="00C602B8" w:rsidRDefault="00C602B8" w:rsidP="00E02A35">
      <w:pPr>
        <w:spacing w:after="0" w:line="360" w:lineRule="auto"/>
        <w:rPr>
          <w:rFonts w:ascii="Palatino Linotype" w:hAnsi="Palatino Linotype"/>
          <w:color w:val="000000" w:themeColor="text1"/>
          <w:sz w:val="24"/>
          <w:szCs w:val="24"/>
        </w:rPr>
      </w:pPr>
    </w:p>
    <w:p w:rsidR="00797A31" w:rsidRPr="00483F14" w:rsidRDefault="00A22908" w:rsidP="00E02A35">
      <w:pPr>
        <w:spacing w:after="0" w:line="360" w:lineRule="auto"/>
        <w:rPr>
          <w:rFonts w:ascii="Palatino Linotype" w:hAnsi="Palatino Linotype"/>
          <w:color w:val="000000" w:themeColor="text1"/>
          <w:sz w:val="20"/>
          <w:szCs w:val="24"/>
        </w:rPr>
      </w:pPr>
      <w:r w:rsidRPr="00483F14">
        <w:rPr>
          <w:rFonts w:ascii="Palatino Linotype" w:hAnsi="Palatino Linotype"/>
          <w:color w:val="000000" w:themeColor="text1"/>
          <w:sz w:val="20"/>
          <w:szCs w:val="24"/>
        </w:rPr>
        <w:t>JGLH</w:t>
      </w:r>
      <w:r w:rsidR="008673E0" w:rsidRPr="00483F14">
        <w:rPr>
          <w:rFonts w:ascii="Palatino Linotype" w:hAnsi="Palatino Linotype"/>
          <w:color w:val="000000" w:themeColor="text1"/>
          <w:sz w:val="20"/>
          <w:szCs w:val="24"/>
        </w:rPr>
        <w:t>/MPBR</w:t>
      </w:r>
    </w:p>
    <w:sectPr w:rsidR="00797A31" w:rsidRPr="00483F14"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303" w:rsidRDefault="00525303" w:rsidP="00E82D3D">
      <w:pPr>
        <w:spacing w:after="0" w:line="240" w:lineRule="auto"/>
      </w:pPr>
      <w:r>
        <w:separator/>
      </w:r>
    </w:p>
  </w:endnote>
  <w:endnote w:type="continuationSeparator" w:id="0">
    <w:p w:rsidR="00525303" w:rsidRDefault="00525303"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7DE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7DE7">
              <w:rPr>
                <w:b/>
                <w:bCs/>
                <w:noProof/>
              </w:rPr>
              <w:t>26</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303" w:rsidRDefault="00525303" w:rsidP="00E82D3D">
      <w:pPr>
        <w:spacing w:after="0" w:line="240" w:lineRule="auto"/>
      </w:pPr>
      <w:r>
        <w:separator/>
      </w:r>
    </w:p>
  </w:footnote>
  <w:footnote w:type="continuationSeparator" w:id="0">
    <w:p w:rsidR="00525303" w:rsidRDefault="00525303" w:rsidP="00E82D3D">
      <w:pPr>
        <w:spacing w:after="0" w:line="240" w:lineRule="auto"/>
      </w:pPr>
      <w:r>
        <w:continuationSeparator/>
      </w:r>
    </w:p>
  </w:footnote>
  <w:footnote w:id="1">
    <w:p w:rsidR="00C83483" w:rsidRDefault="00C83483" w:rsidP="00C83483">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253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253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253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7202FA"/>
    <w:multiLevelType w:val="hybridMultilevel"/>
    <w:tmpl w:val="CCEC1FD6"/>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33837"/>
    <w:rsid w:val="0003648B"/>
    <w:rsid w:val="00047D47"/>
    <w:rsid w:val="00064C7C"/>
    <w:rsid w:val="00080138"/>
    <w:rsid w:val="00083196"/>
    <w:rsid w:val="0009506C"/>
    <w:rsid w:val="000957D0"/>
    <w:rsid w:val="00096CC2"/>
    <w:rsid w:val="000A17C5"/>
    <w:rsid w:val="000B09D7"/>
    <w:rsid w:val="000E1ACA"/>
    <w:rsid w:val="000F6EC0"/>
    <w:rsid w:val="00102360"/>
    <w:rsid w:val="00113C80"/>
    <w:rsid w:val="00113E8A"/>
    <w:rsid w:val="001240A5"/>
    <w:rsid w:val="00140213"/>
    <w:rsid w:val="0016014E"/>
    <w:rsid w:val="001604B4"/>
    <w:rsid w:val="001725DC"/>
    <w:rsid w:val="001833A7"/>
    <w:rsid w:val="0018421D"/>
    <w:rsid w:val="001A7D89"/>
    <w:rsid w:val="001B19B4"/>
    <w:rsid w:val="001C23BB"/>
    <w:rsid w:val="001C3DD0"/>
    <w:rsid w:val="001C6366"/>
    <w:rsid w:val="001E4878"/>
    <w:rsid w:val="001E5635"/>
    <w:rsid w:val="001F0E58"/>
    <w:rsid w:val="00203A60"/>
    <w:rsid w:val="00224B9E"/>
    <w:rsid w:val="0022701C"/>
    <w:rsid w:val="00234AF5"/>
    <w:rsid w:val="00241D8A"/>
    <w:rsid w:val="002464D6"/>
    <w:rsid w:val="00252BB6"/>
    <w:rsid w:val="002643E6"/>
    <w:rsid w:val="00270126"/>
    <w:rsid w:val="00273862"/>
    <w:rsid w:val="002A1018"/>
    <w:rsid w:val="002A3111"/>
    <w:rsid w:val="002B1FE5"/>
    <w:rsid w:val="002B30C5"/>
    <w:rsid w:val="002C4ACE"/>
    <w:rsid w:val="002D4033"/>
    <w:rsid w:val="002E3ED2"/>
    <w:rsid w:val="002E50A9"/>
    <w:rsid w:val="002F79FF"/>
    <w:rsid w:val="00305CE0"/>
    <w:rsid w:val="00315772"/>
    <w:rsid w:val="00321C92"/>
    <w:rsid w:val="003258B6"/>
    <w:rsid w:val="00341896"/>
    <w:rsid w:val="0034202F"/>
    <w:rsid w:val="00384DBA"/>
    <w:rsid w:val="003855C9"/>
    <w:rsid w:val="003A0E53"/>
    <w:rsid w:val="003A31EF"/>
    <w:rsid w:val="003C37C6"/>
    <w:rsid w:val="003C7F8A"/>
    <w:rsid w:val="003E0648"/>
    <w:rsid w:val="00410B42"/>
    <w:rsid w:val="00427B79"/>
    <w:rsid w:val="004522D5"/>
    <w:rsid w:val="00460FFC"/>
    <w:rsid w:val="0046231E"/>
    <w:rsid w:val="004633B7"/>
    <w:rsid w:val="00467E61"/>
    <w:rsid w:val="00470840"/>
    <w:rsid w:val="004733AF"/>
    <w:rsid w:val="00483F14"/>
    <w:rsid w:val="0048628E"/>
    <w:rsid w:val="004A5F86"/>
    <w:rsid w:val="004A6C81"/>
    <w:rsid w:val="004F3ABB"/>
    <w:rsid w:val="004F4DA5"/>
    <w:rsid w:val="00522308"/>
    <w:rsid w:val="0052306C"/>
    <w:rsid w:val="00525303"/>
    <w:rsid w:val="00534972"/>
    <w:rsid w:val="0054505C"/>
    <w:rsid w:val="005556CA"/>
    <w:rsid w:val="00560CB9"/>
    <w:rsid w:val="005650D9"/>
    <w:rsid w:val="00567957"/>
    <w:rsid w:val="00594E5C"/>
    <w:rsid w:val="005E5D6B"/>
    <w:rsid w:val="005F30BC"/>
    <w:rsid w:val="0061188C"/>
    <w:rsid w:val="00617ACF"/>
    <w:rsid w:val="006319DC"/>
    <w:rsid w:val="00680533"/>
    <w:rsid w:val="006A0BDD"/>
    <w:rsid w:val="006B39ED"/>
    <w:rsid w:val="006F0A01"/>
    <w:rsid w:val="00730193"/>
    <w:rsid w:val="00740A46"/>
    <w:rsid w:val="00740DA3"/>
    <w:rsid w:val="00744BA1"/>
    <w:rsid w:val="00797A31"/>
    <w:rsid w:val="007A1EB0"/>
    <w:rsid w:val="007B2DD9"/>
    <w:rsid w:val="007D037D"/>
    <w:rsid w:val="007D03AB"/>
    <w:rsid w:val="007E48FF"/>
    <w:rsid w:val="008005DA"/>
    <w:rsid w:val="00804A5D"/>
    <w:rsid w:val="00806194"/>
    <w:rsid w:val="008076C1"/>
    <w:rsid w:val="00807E40"/>
    <w:rsid w:val="008216B4"/>
    <w:rsid w:val="0083488C"/>
    <w:rsid w:val="00835C8D"/>
    <w:rsid w:val="00843E5B"/>
    <w:rsid w:val="008673E0"/>
    <w:rsid w:val="00894E97"/>
    <w:rsid w:val="008E733E"/>
    <w:rsid w:val="008F2800"/>
    <w:rsid w:val="009143F1"/>
    <w:rsid w:val="00922197"/>
    <w:rsid w:val="009658BA"/>
    <w:rsid w:val="00987C08"/>
    <w:rsid w:val="009A2D39"/>
    <w:rsid w:val="009B3A5C"/>
    <w:rsid w:val="009C7267"/>
    <w:rsid w:val="009C72FE"/>
    <w:rsid w:val="009D3902"/>
    <w:rsid w:val="009F4960"/>
    <w:rsid w:val="00A07930"/>
    <w:rsid w:val="00A154B2"/>
    <w:rsid w:val="00A22908"/>
    <w:rsid w:val="00A23B00"/>
    <w:rsid w:val="00A276D9"/>
    <w:rsid w:val="00A37A86"/>
    <w:rsid w:val="00A82E8C"/>
    <w:rsid w:val="00A84374"/>
    <w:rsid w:val="00AD7DE7"/>
    <w:rsid w:val="00B16CE1"/>
    <w:rsid w:val="00B2190C"/>
    <w:rsid w:val="00B32C98"/>
    <w:rsid w:val="00B3675E"/>
    <w:rsid w:val="00B41044"/>
    <w:rsid w:val="00B516DB"/>
    <w:rsid w:val="00B73B30"/>
    <w:rsid w:val="00B80528"/>
    <w:rsid w:val="00B83FC5"/>
    <w:rsid w:val="00B847EF"/>
    <w:rsid w:val="00B9285A"/>
    <w:rsid w:val="00BA5AA9"/>
    <w:rsid w:val="00BB4414"/>
    <w:rsid w:val="00BB488C"/>
    <w:rsid w:val="00BB48A7"/>
    <w:rsid w:val="00C130B3"/>
    <w:rsid w:val="00C13FAB"/>
    <w:rsid w:val="00C37E62"/>
    <w:rsid w:val="00C43E73"/>
    <w:rsid w:val="00C544E1"/>
    <w:rsid w:val="00C547F0"/>
    <w:rsid w:val="00C5568D"/>
    <w:rsid w:val="00C602B8"/>
    <w:rsid w:val="00C6233A"/>
    <w:rsid w:val="00C753D8"/>
    <w:rsid w:val="00C83483"/>
    <w:rsid w:val="00C9229E"/>
    <w:rsid w:val="00CA2B8E"/>
    <w:rsid w:val="00CB3A8E"/>
    <w:rsid w:val="00CB3F4E"/>
    <w:rsid w:val="00CC3ACF"/>
    <w:rsid w:val="00CC7CC1"/>
    <w:rsid w:val="00CD53CB"/>
    <w:rsid w:val="00CF0462"/>
    <w:rsid w:val="00CF1560"/>
    <w:rsid w:val="00D0055C"/>
    <w:rsid w:val="00D05844"/>
    <w:rsid w:val="00D152FB"/>
    <w:rsid w:val="00D207EA"/>
    <w:rsid w:val="00D35B4C"/>
    <w:rsid w:val="00D51491"/>
    <w:rsid w:val="00D92BA5"/>
    <w:rsid w:val="00DB39B5"/>
    <w:rsid w:val="00DB53B7"/>
    <w:rsid w:val="00DD14BB"/>
    <w:rsid w:val="00DE2D8F"/>
    <w:rsid w:val="00DE6F8B"/>
    <w:rsid w:val="00DE7A32"/>
    <w:rsid w:val="00DF782C"/>
    <w:rsid w:val="00E02A35"/>
    <w:rsid w:val="00E27A90"/>
    <w:rsid w:val="00E535E4"/>
    <w:rsid w:val="00E6179D"/>
    <w:rsid w:val="00E70B07"/>
    <w:rsid w:val="00E82D3D"/>
    <w:rsid w:val="00E93266"/>
    <w:rsid w:val="00EA7D41"/>
    <w:rsid w:val="00EB7AAD"/>
    <w:rsid w:val="00EC6B7E"/>
    <w:rsid w:val="00F01271"/>
    <w:rsid w:val="00F1169F"/>
    <w:rsid w:val="00F1403B"/>
    <w:rsid w:val="00F26CE5"/>
    <w:rsid w:val="00F30EE8"/>
    <w:rsid w:val="00F41722"/>
    <w:rsid w:val="00F72355"/>
    <w:rsid w:val="00FA6405"/>
    <w:rsid w:val="00FB274F"/>
    <w:rsid w:val="00FB5F09"/>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65355-C5F2-41D3-8015-A1866C75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5546</Words>
  <Characters>30506</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2019-05-09T00:41:00Z</cp:lastPrinted>
  <dcterms:created xsi:type="dcterms:W3CDTF">2019-06-19T22:43:00Z</dcterms:created>
  <dcterms:modified xsi:type="dcterms:W3CDTF">2019-06-19T22:43:00Z</dcterms:modified>
</cp:coreProperties>
</file>